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0FC8C">
      <w:pPr>
        <w:rPr>
          <w:rFonts w:hint="eastAsia" w:ascii="黑体" w:hAnsi="黑体" w:eastAsia="黑体"/>
          <w:sz w:val="32"/>
          <w:szCs w:val="32"/>
        </w:rPr>
      </w:pPr>
    </w:p>
    <w:p w14:paraId="5C158437">
      <w:pPr>
        <w:jc w:val="center"/>
        <w:rPr>
          <w:rFonts w:hint="eastAsia" w:ascii="方正小标宋_GBK" w:hAnsi="宋体" w:eastAsia="方正小标宋_GBK"/>
          <w:sz w:val="44"/>
          <w:szCs w:val="44"/>
        </w:rPr>
      </w:pPr>
    </w:p>
    <w:p w14:paraId="407E077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木垒哈萨克自治县地震台</w:t>
      </w:r>
    </w:p>
    <w:p w14:paraId="3DF1907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73FE11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8AB5AF0">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0CCA7E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651B597">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7B01A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9F8668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8101F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534FC7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CC5CF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BC66C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62FB8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FC070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4BBBC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14420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D9E102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3DDA3D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8E377D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979ACA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BE06C6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BACD74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CADF4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1E3D07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5BC1A89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F6CB11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7D3C2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1C8A4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95991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C408C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36BAA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477FB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C821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7176DD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8DDC7D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F4965BE">
      <w:r>
        <w:rPr>
          <w:rFonts w:hint="eastAsia" w:ascii="仿宋_GB2312" w:hAnsi="仿宋_GB2312" w:eastAsia="仿宋_GB2312" w:cs="仿宋_GB2312"/>
          <w:sz w:val="32"/>
          <w:szCs w:val="32"/>
        </w:rPr>
        <w:fldChar w:fldCharType="end"/>
      </w:r>
    </w:p>
    <w:p w14:paraId="4DD0F88C">
      <w:pPr>
        <w:rPr>
          <w:rFonts w:ascii="仿宋_GB2312" w:eastAsia="仿宋_GB2312"/>
          <w:sz w:val="32"/>
          <w:szCs w:val="32"/>
        </w:rPr>
      </w:pPr>
      <w:r>
        <w:rPr>
          <w:rFonts w:hint="eastAsia" w:ascii="仿宋_GB2312" w:eastAsia="仿宋_GB2312"/>
          <w:sz w:val="32"/>
          <w:szCs w:val="32"/>
        </w:rPr>
        <w:br w:type="page"/>
      </w:r>
    </w:p>
    <w:p w14:paraId="64DBFA7C">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62548E7">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9C75867">
      <w:pPr>
        <w:ind w:firstLine="640" w:firstLineChars="200"/>
        <w:jc w:val="left"/>
        <w:rPr>
          <w:rFonts w:ascii="仿宋_GB2312" w:eastAsia="仿宋_GB2312"/>
          <w:sz w:val="32"/>
          <w:szCs w:val="32"/>
        </w:rPr>
      </w:pPr>
      <w:r>
        <w:rPr>
          <w:rFonts w:hint="eastAsia" w:ascii="仿宋_GB2312" w:eastAsia="仿宋_GB2312"/>
          <w:sz w:val="32"/>
          <w:szCs w:val="32"/>
        </w:rPr>
        <w:t>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14:paraId="6F975DB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CF3A195">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木垒哈萨克自治县地震台2023年度，实有人数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14:paraId="4BB6D256">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财务室、办公室、监测室</w:t>
      </w:r>
      <w:r>
        <w:rPr>
          <w:rFonts w:hint="eastAsia" w:ascii="仿宋_GB2312" w:hAnsi="宋体" w:eastAsia="仿宋_GB2312" w:cs="宋体"/>
          <w:kern w:val="0"/>
          <w:sz w:val="32"/>
          <w:szCs w:val="32"/>
        </w:rPr>
        <w:t>。</w:t>
      </w:r>
    </w:p>
    <w:p w14:paraId="641368B3">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57A48DE4">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EE44F20">
      <w:pPr>
        <w:ind w:firstLine="640" w:firstLineChars="200"/>
        <w:jc w:val="left"/>
        <w:rPr>
          <w:rFonts w:ascii="仿宋_GB2312" w:eastAsia="仿宋_GB2312"/>
          <w:sz w:val="32"/>
          <w:szCs w:val="32"/>
        </w:rPr>
      </w:pPr>
      <w:r>
        <w:rPr>
          <w:rFonts w:hint="eastAsia" w:ascii="仿宋_GB2312" w:eastAsia="仿宋_GB2312"/>
          <w:sz w:val="32"/>
          <w:szCs w:val="32"/>
        </w:rPr>
        <w:t>2023年度收入总计103.77万元，其中：本年收入合计103.77万元，使用非财政拨款结余0.00万元，年初结转和结余0.00万元。</w:t>
      </w:r>
    </w:p>
    <w:p w14:paraId="77BC5CA8">
      <w:pPr>
        <w:ind w:firstLine="640" w:firstLineChars="200"/>
        <w:jc w:val="left"/>
        <w:rPr>
          <w:rFonts w:ascii="仿宋_GB2312" w:eastAsia="仿宋_GB2312"/>
          <w:sz w:val="32"/>
          <w:szCs w:val="32"/>
        </w:rPr>
      </w:pPr>
      <w:r>
        <w:rPr>
          <w:rFonts w:hint="eastAsia" w:ascii="仿宋_GB2312" w:eastAsia="仿宋_GB2312"/>
          <w:sz w:val="32"/>
          <w:szCs w:val="32"/>
        </w:rPr>
        <w:t>2023年度支出总计103.77万元，其中：本年支出合计103.77万元，结余分配0.00万元，年末结转和结余0.00万元。</w:t>
      </w:r>
    </w:p>
    <w:p w14:paraId="103B97A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w:t>
      </w:r>
    </w:p>
    <w:p w14:paraId="5936075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8C43906">
      <w:pPr>
        <w:ind w:firstLine="640" w:firstLineChars="200"/>
        <w:jc w:val="left"/>
        <w:rPr>
          <w:rFonts w:ascii="仿宋_GB2312" w:eastAsia="仿宋_GB2312"/>
          <w:sz w:val="32"/>
          <w:szCs w:val="32"/>
        </w:rPr>
      </w:pPr>
      <w:r>
        <w:rPr>
          <w:rFonts w:hint="eastAsia" w:ascii="仿宋_GB2312" w:eastAsia="仿宋_GB2312"/>
          <w:sz w:val="32"/>
          <w:szCs w:val="32"/>
        </w:rPr>
        <w:t>本年收入103.77万元，其中：财政拨款收入</w:t>
      </w:r>
      <w:r>
        <w:rPr>
          <w:rFonts w:hint="eastAsia" w:ascii="仿宋_GB2312" w:eastAsia="仿宋_GB2312"/>
          <w:sz w:val="32"/>
          <w:szCs w:val="32"/>
          <w:lang w:val="zh-CN"/>
        </w:rPr>
        <w:t>103.77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ACC594B">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3C8A8257">
      <w:pPr>
        <w:ind w:firstLine="640" w:firstLineChars="200"/>
        <w:jc w:val="left"/>
        <w:rPr>
          <w:rFonts w:ascii="仿宋_GB2312" w:eastAsia="仿宋_GB2312"/>
          <w:sz w:val="32"/>
          <w:szCs w:val="32"/>
        </w:rPr>
      </w:pPr>
      <w:r>
        <w:rPr>
          <w:rFonts w:hint="eastAsia" w:ascii="仿宋_GB2312" w:eastAsia="仿宋_GB2312"/>
          <w:sz w:val="32"/>
          <w:szCs w:val="32"/>
        </w:rPr>
        <w:t>本年支出103.77万元，其中：基本支出103.77万元，占100.00%；项目支出0.00万元，占0.00%；上缴上级支出0.00万元，占0.00%；经营支出0.00万元，占0.00%；对附属单位补助支出0.00万元，占0.00%。</w:t>
      </w:r>
    </w:p>
    <w:p w14:paraId="28B71342">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26A81A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103.77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103.77</w:t>
      </w:r>
      <w:r>
        <w:rPr>
          <w:rFonts w:hint="eastAsia" w:ascii="仿宋_GB2312" w:eastAsia="仿宋_GB2312"/>
          <w:sz w:val="32"/>
          <w:szCs w:val="32"/>
        </w:rPr>
        <w:t>万元。财政拨款支出总计</w:t>
      </w:r>
      <w:r>
        <w:rPr>
          <w:rFonts w:hint="eastAsia" w:ascii="仿宋_GB2312" w:eastAsia="仿宋_GB2312"/>
          <w:sz w:val="32"/>
          <w:szCs w:val="32"/>
          <w:lang w:val="zh-CN"/>
        </w:rPr>
        <w:t>103.77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103.77</w:t>
      </w:r>
      <w:r>
        <w:rPr>
          <w:rFonts w:hint="eastAsia" w:ascii="仿宋_GB2312" w:eastAsia="仿宋_GB2312"/>
          <w:sz w:val="32"/>
          <w:szCs w:val="32"/>
        </w:rPr>
        <w:t>万元。</w:t>
      </w:r>
    </w:p>
    <w:p w14:paraId="1AFD944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万元，预决算差异率9.49%，主要原因是：年中追加采暖费及独生子女奖励金。</w:t>
      </w:r>
    </w:p>
    <w:p w14:paraId="0D2D4341">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1C79CC9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7AA6446">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2023年度一般公共预算财政拨款支出103.77万元，占本年支出合计的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w:t>
      </w:r>
      <w:r>
        <w:rPr>
          <w:rFonts w:hint="eastAsia" w:ascii="仿宋_GB2312" w:eastAsia="仿宋_GB2312"/>
          <w:sz w:val="32"/>
          <w:szCs w:val="32"/>
          <w:lang w:val="zh-CN"/>
        </w:rPr>
        <w:t>9.49%</w:t>
      </w:r>
      <w:r>
        <w:rPr>
          <w:rFonts w:hint="eastAsia" w:ascii="仿宋_GB2312" w:eastAsia="仿宋_GB2312"/>
          <w:sz w:val="32"/>
          <w:szCs w:val="32"/>
        </w:rPr>
        <w:t>，主要原因是：年中追加采暖费及独生子女奖励金。</w:t>
      </w:r>
    </w:p>
    <w:p w14:paraId="2ED5736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DB7E83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11.08</w:t>
      </w:r>
      <w:r>
        <w:rPr>
          <w:rFonts w:ascii="仿宋_GB2312" w:eastAsia="仿宋_GB2312"/>
          <w:kern w:val="2"/>
          <w:sz w:val="32"/>
          <w:szCs w:val="32"/>
          <w:lang w:val="zh-CN"/>
        </w:rPr>
        <w:t>万元，占</w:t>
      </w:r>
      <w:r>
        <w:rPr>
          <w:rFonts w:hint="eastAsia" w:ascii="仿宋_GB2312" w:eastAsia="仿宋_GB2312"/>
          <w:kern w:val="2"/>
          <w:sz w:val="32"/>
          <w:szCs w:val="32"/>
          <w:lang w:val="zh-CN"/>
        </w:rPr>
        <w:t>10.68</w:t>
      </w:r>
      <w:r>
        <w:rPr>
          <w:rFonts w:ascii="仿宋_GB2312" w:eastAsia="仿宋_GB2312"/>
          <w:kern w:val="2"/>
          <w:sz w:val="32"/>
          <w:szCs w:val="32"/>
          <w:lang w:val="zh-CN"/>
        </w:rPr>
        <w:t>%；</w:t>
      </w:r>
    </w:p>
    <w:p w14:paraId="2354649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6.79</w:t>
      </w:r>
      <w:r>
        <w:rPr>
          <w:rFonts w:ascii="仿宋_GB2312" w:eastAsia="仿宋_GB2312"/>
          <w:kern w:val="2"/>
          <w:sz w:val="32"/>
          <w:szCs w:val="32"/>
          <w:lang w:val="zh-CN"/>
        </w:rPr>
        <w:t>万元，占</w:t>
      </w:r>
      <w:r>
        <w:rPr>
          <w:rFonts w:hint="eastAsia" w:ascii="仿宋_GB2312" w:eastAsia="仿宋_GB2312"/>
          <w:kern w:val="2"/>
          <w:sz w:val="32"/>
          <w:szCs w:val="32"/>
          <w:lang w:val="zh-CN"/>
        </w:rPr>
        <w:t>6.54</w:t>
      </w:r>
      <w:r>
        <w:rPr>
          <w:rFonts w:ascii="仿宋_GB2312" w:eastAsia="仿宋_GB2312"/>
          <w:kern w:val="2"/>
          <w:sz w:val="32"/>
          <w:szCs w:val="32"/>
          <w:lang w:val="zh-CN"/>
        </w:rPr>
        <w:t>%；</w:t>
      </w:r>
    </w:p>
    <w:p w14:paraId="77A4C4A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85.91</w:t>
      </w:r>
      <w:r>
        <w:rPr>
          <w:rFonts w:ascii="仿宋_GB2312" w:eastAsia="仿宋_GB2312"/>
          <w:kern w:val="2"/>
          <w:sz w:val="32"/>
          <w:szCs w:val="32"/>
          <w:lang w:val="zh-CN"/>
        </w:rPr>
        <w:t>万元，占</w:t>
      </w:r>
      <w:r>
        <w:rPr>
          <w:rFonts w:hint="eastAsia" w:ascii="仿宋_GB2312" w:eastAsia="仿宋_GB2312"/>
          <w:kern w:val="2"/>
          <w:sz w:val="32"/>
          <w:szCs w:val="32"/>
          <w:lang w:val="zh-CN"/>
        </w:rPr>
        <w:t>82.78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71A4BC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6D937C2">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1.灾害防治及应急管理支出（类）地震事务（款）地震监测（项）:支出决算数为0.36万元，比上年决算增加0.00万元，增长0.00%，主要原因是：与上年对比无差异。</w:t>
      </w:r>
    </w:p>
    <w:p w14:paraId="263CBEA2">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2.住房保障支出（类）住房改革支出（款）住房公积金（项）:支出决算数为6.79万元，比上年决算增加0.27万元，增长4.1</w:t>
      </w:r>
      <w:r>
        <w:rPr>
          <w:rFonts w:hint="eastAsia" w:ascii="仿宋_GB2312" w:eastAsia="仿宋_GB2312"/>
          <w:sz w:val="32"/>
          <w:szCs w:val="32"/>
          <w:lang w:val="en-US" w:eastAsia="zh-CN"/>
        </w:rPr>
        <w:t>4</w:t>
      </w:r>
      <w:r>
        <w:rPr>
          <w:rFonts w:hint="eastAsia" w:ascii="仿宋_GB2312" w:eastAsia="仿宋_GB2312"/>
          <w:sz w:val="32"/>
          <w:szCs w:val="32"/>
        </w:rPr>
        <w:t>%，主要原因是：工资调资相应公积金缴费增加。</w:t>
      </w:r>
    </w:p>
    <w:p w14:paraId="036A0653">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3.社会保障和就业支出（类）抚恤（款）死亡抚恤（项）:支出决算数为0.79万元，比上年决算增加0.00万元，增长0.00%，主要原因是：与上年对比无差异。</w:t>
      </w:r>
    </w:p>
    <w:p w14:paraId="15815DD8">
      <w:pPr>
        <w:ind w:firstLine="640" w:firstLineChars="200"/>
        <w:jc w:val="left"/>
        <w:rPr>
          <w:rFonts w:ascii="仿宋_GB2312" w:eastAsia="仿宋_GB2312"/>
          <w:sz w:val="32"/>
          <w:szCs w:val="32"/>
        </w:rPr>
      </w:pPr>
      <w:r>
        <w:rPr>
          <w:rFonts w:hint="eastAsia" w:ascii="仿宋_GB2312" w:eastAsia="仿宋_GB2312"/>
          <w:sz w:val="32"/>
          <w:szCs w:val="32"/>
        </w:rPr>
        <w:t>4.灾害防治及应急管理支出（类）地震事务（款）地震事业机构（项）:支出决算数为85.55万元，比上年决算增加13.71万元，增长19.08%，主要原因是：本年单位工资调标准，相应基本工资、奖金增加。</w:t>
      </w:r>
    </w:p>
    <w:p w14:paraId="1EF9EA15">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5.社会保障和就业支出（类）行政事业单位养老支出（款）事业单位离退休（项）:支出决算数为1.33万元，比上年决算增加1.33万元，增长100%，主要原因是：增加退休人员采暖费及独生子女奖励金。</w:t>
      </w:r>
    </w:p>
    <w:p w14:paraId="7495ED7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6.社会保障和就业支出（类）行政事业单位养老支出（款）机关事业单位基本养老保险缴费支出（项）:支出决算数为8.96万元，比上年决算减少0.</w:t>
      </w:r>
      <w:r>
        <w:rPr>
          <w:rFonts w:hint="eastAsia" w:ascii="仿宋_GB2312" w:eastAsia="仿宋_GB2312"/>
          <w:sz w:val="32"/>
          <w:szCs w:val="32"/>
          <w:lang w:val="en-US" w:eastAsia="zh-CN"/>
        </w:rPr>
        <w:t>19</w:t>
      </w:r>
      <w:r>
        <w:rPr>
          <w:rFonts w:hint="eastAsia" w:ascii="仿宋_GB2312" w:eastAsia="仿宋_GB2312"/>
          <w:sz w:val="32"/>
          <w:szCs w:val="32"/>
        </w:rPr>
        <w:t>万元，下降2.</w:t>
      </w:r>
      <w:r>
        <w:rPr>
          <w:rFonts w:hint="eastAsia" w:ascii="仿宋_GB2312" w:eastAsia="仿宋_GB2312"/>
          <w:sz w:val="32"/>
          <w:szCs w:val="32"/>
          <w:lang w:val="en-US" w:eastAsia="zh-CN"/>
        </w:rPr>
        <w:t>08</w:t>
      </w:r>
      <w:bookmarkStart w:id="48" w:name="_GoBack"/>
      <w:bookmarkEnd w:id="48"/>
      <w:r>
        <w:rPr>
          <w:rFonts w:hint="eastAsia" w:ascii="仿宋_GB2312" w:eastAsia="仿宋_GB2312"/>
          <w:sz w:val="32"/>
          <w:szCs w:val="32"/>
        </w:rPr>
        <w:t>%，主要原因是：本年单位社保经费预算财政未拨付到位，因此造成支出减少。</w:t>
      </w:r>
    </w:p>
    <w:p w14:paraId="36C3ACCC">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7.社会保障和就业支出（类）行政事业单位养老支出（款）行政单位离退休（项）:支出决算数为0.00万元，比上年决算减少0.58万元，下降100%，主要原因是：单位本年此科目支出在事业单位离退休科目支出。</w:t>
      </w:r>
    </w:p>
    <w:p w14:paraId="0BC8DB5D">
      <w:pPr>
        <w:ind w:firstLine="640" w:firstLineChars="200"/>
        <w:jc w:val="left"/>
        <w:rPr>
          <w:rFonts w:ascii="仿宋_GB2312" w:eastAsia="仿宋_GB2312"/>
          <w:sz w:val="32"/>
          <w:szCs w:val="32"/>
        </w:rPr>
      </w:pPr>
      <w:r>
        <w:rPr>
          <w:rFonts w:hint="eastAsia" w:ascii="仿宋_GB2312" w:eastAsia="仿宋_GB2312"/>
          <w:sz w:val="32"/>
          <w:szCs w:val="32"/>
        </w:rPr>
        <w:t>8.灾害防治及应急管理支出（类）地震事务（款）防震减灾基础管理（项）:支出决算数为0.00万元，比上年决算减少2.11万元，下降100%，主要原因是：单位本年单位公用经费在地震事业机构支出。</w:t>
      </w:r>
    </w:p>
    <w:p w14:paraId="33943CA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8E89409">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14:paraId="6D83F947">
      <w:pPr>
        <w:ind w:firstLine="640" w:firstLineChars="200"/>
        <w:jc w:val="left"/>
        <w:rPr>
          <w:rFonts w:ascii="仿宋_GB2312" w:eastAsia="仿宋_GB2312"/>
          <w:sz w:val="32"/>
          <w:szCs w:val="32"/>
        </w:rPr>
      </w:pPr>
      <w:r>
        <w:rPr>
          <w:rFonts w:hint="eastAsia" w:ascii="仿宋_GB2312" w:eastAsia="仿宋_GB2312"/>
          <w:sz w:val="32"/>
          <w:szCs w:val="32"/>
        </w:rPr>
        <w:t>公用经费11.33万元，包括：办公费、电费、邮电费、取暖费、差旅费、维修（护）费、租赁费、劳务费、办公设备购置。</w:t>
      </w:r>
    </w:p>
    <w:p w14:paraId="7AFF1B1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7BF3CC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减少0.20万元，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；公务用车购置及运行维护费支出0.00万元，占0.00%，比上年减少0.20万元，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6E8AE4F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17F000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14:paraId="6030987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原因是：差异车辆为一般业务用车1辆，车辆费用未使用财政拨款公务用车运行维护费支付。</w:t>
      </w:r>
    </w:p>
    <w:p w14:paraId="435595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14:paraId="455F9B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FDE78A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4C6E2F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CFD671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069670E">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6A33B4F">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F271A8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A312B7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2023年度木垒哈萨克自治县地震台（行政单位和参照公务员法管理事业单位）机关运行经费支出11.33万元，比上年增加8.21万元，增长263.14%，主要原因是：本年单位取暖费、租赁费、劳务费增加。</w:t>
      </w:r>
    </w:p>
    <w:p w14:paraId="1B5D7B8E">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6C59ABB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2023年度政府采购支出总额10.12万元，其中：政府采购货物支出3.14万元、政府采购工程支出6.98万元、政府采购服务支出0.00万元。</w:t>
      </w:r>
    </w:p>
    <w:p w14:paraId="471D36A4">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授予中小企业合同金额10.12万元，占政府采购支出总额的100.00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，其中：授予小微企业合同金额10.12万元，占政府采购支出总额的100.00</w:t>
      </w:r>
      <w:r>
        <w:rPr>
          <w:rFonts w:ascii="仿宋_GB2312" w:eastAsia="仿宋_GB2312"/>
          <w:sz w:val="32"/>
          <w:szCs w:val="32"/>
        </w:rPr>
        <w:t>%</w:t>
      </w:r>
      <w:r>
        <w:rPr>
          <w:rFonts w:hint="eastAsia" w:ascii="仿宋_GB2312" w:eastAsia="仿宋_GB2312"/>
          <w:sz w:val="32"/>
          <w:szCs w:val="32"/>
        </w:rPr>
        <w:t>。</w:t>
      </w:r>
    </w:p>
    <w:p w14:paraId="46C5FD0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3488F260">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04C717E2">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4EBE5C2">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103.77</w:t>
      </w:r>
      <w:r>
        <w:rPr>
          <w:rFonts w:hint="eastAsia" w:ascii="仿宋_GB2312" w:eastAsia="仿宋_GB2312"/>
          <w:sz w:val="32"/>
          <w:szCs w:val="32"/>
        </w:rPr>
        <w:t>万元，实际执行总额</w:t>
      </w:r>
      <w:r>
        <w:rPr>
          <w:rFonts w:ascii="仿宋_GB2312" w:eastAsia="仿宋_GB2312"/>
          <w:sz w:val="32"/>
          <w:szCs w:val="32"/>
        </w:rPr>
        <w:t>103.77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1217"/>
        <w:gridCol w:w="1316"/>
        <w:gridCol w:w="1300"/>
        <w:gridCol w:w="1265"/>
        <w:gridCol w:w="1040"/>
        <w:gridCol w:w="767"/>
        <w:gridCol w:w="441"/>
      </w:tblGrid>
      <w:tr w14:paraId="741EE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48DA2735">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273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6177F80A">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206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pct"/>
            <w:shd w:val="clear" w:color="auto" w:fill="auto"/>
            <w:noWrap/>
            <w:vAlign w:val="center"/>
          </w:tcPr>
          <w:p w14:paraId="31C3C16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09" w:type="pct"/>
            <w:gridSpan w:val="7"/>
            <w:shd w:val="clear" w:color="auto" w:fill="auto"/>
            <w:noWrap/>
            <w:vAlign w:val="center"/>
          </w:tcPr>
          <w:p w14:paraId="3DDF7E89">
            <w:pPr>
              <w:widowControl/>
              <w:jc w:val="center"/>
              <w:rPr>
                <w:rFonts w:hint="eastAsia" w:ascii="宋体" w:hAnsi="宋体" w:cs="宋体"/>
                <w:kern w:val="0"/>
                <w:sz w:val="20"/>
                <w:szCs w:val="20"/>
              </w:rPr>
            </w:pPr>
            <w:r>
              <w:rPr>
                <w:rFonts w:hint="eastAsia" w:ascii="宋体" w:hAnsi="宋体" w:cs="宋体"/>
                <w:kern w:val="0"/>
                <w:sz w:val="20"/>
                <w:szCs w:val="20"/>
              </w:rPr>
              <w:t>木垒哈萨克自治县地震台</w:t>
            </w:r>
          </w:p>
        </w:tc>
      </w:tr>
      <w:tr w14:paraId="4205B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90" w:type="pct"/>
            <w:vMerge w:val="restart"/>
            <w:shd w:val="clear" w:color="auto" w:fill="auto"/>
            <w:vAlign w:val="center"/>
          </w:tcPr>
          <w:p w14:paraId="7F169544">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714" w:type="pct"/>
            <w:shd w:val="clear" w:color="auto" w:fill="auto"/>
            <w:vAlign w:val="center"/>
          </w:tcPr>
          <w:p w14:paraId="20694C96">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72" w:type="pct"/>
            <w:shd w:val="clear" w:color="auto" w:fill="auto"/>
            <w:vAlign w:val="center"/>
          </w:tcPr>
          <w:p w14:paraId="02ABEC24">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62" w:type="pct"/>
            <w:shd w:val="clear" w:color="auto" w:fill="auto"/>
            <w:vAlign w:val="center"/>
          </w:tcPr>
          <w:p w14:paraId="188EC5CC">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42" w:type="pct"/>
            <w:shd w:val="clear" w:color="auto" w:fill="auto"/>
            <w:vAlign w:val="center"/>
          </w:tcPr>
          <w:p w14:paraId="3846D6BD">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610" w:type="pct"/>
            <w:shd w:val="clear" w:color="auto" w:fill="auto"/>
            <w:vAlign w:val="center"/>
          </w:tcPr>
          <w:p w14:paraId="10A8E0E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14:paraId="39C912B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256" w:type="pct"/>
            <w:shd w:val="clear" w:color="auto" w:fill="auto"/>
            <w:vAlign w:val="center"/>
          </w:tcPr>
          <w:p w14:paraId="71E0395E">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83C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702991F7">
            <w:pPr>
              <w:widowControl/>
              <w:jc w:val="left"/>
              <w:rPr>
                <w:rFonts w:hint="eastAsia" w:ascii="宋体" w:hAnsi="宋体" w:cs="宋体"/>
                <w:kern w:val="0"/>
                <w:sz w:val="20"/>
                <w:szCs w:val="20"/>
              </w:rPr>
            </w:pPr>
          </w:p>
        </w:tc>
        <w:tc>
          <w:tcPr>
            <w:tcW w:w="714" w:type="pct"/>
            <w:shd w:val="clear" w:color="auto" w:fill="auto"/>
            <w:noWrap/>
            <w:vAlign w:val="center"/>
          </w:tcPr>
          <w:p w14:paraId="05D1997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72" w:type="pct"/>
            <w:shd w:val="clear" w:color="auto" w:fill="auto"/>
            <w:vAlign w:val="center"/>
          </w:tcPr>
          <w:p w14:paraId="54F9DB20">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62" w:type="pct"/>
            <w:shd w:val="clear" w:color="auto" w:fill="auto"/>
            <w:vAlign w:val="center"/>
          </w:tcPr>
          <w:p w14:paraId="1058337E">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2" w:type="pct"/>
            <w:shd w:val="clear" w:color="auto" w:fill="auto"/>
            <w:vAlign w:val="center"/>
          </w:tcPr>
          <w:p w14:paraId="22BC2C96">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10" w:type="pct"/>
            <w:shd w:val="clear" w:color="auto" w:fill="auto"/>
            <w:vAlign w:val="center"/>
          </w:tcPr>
          <w:p w14:paraId="280738B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vAlign w:val="center"/>
          </w:tcPr>
          <w:p w14:paraId="3818274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256" w:type="pct"/>
            <w:shd w:val="clear" w:color="auto" w:fill="auto"/>
            <w:vAlign w:val="center"/>
          </w:tcPr>
          <w:p w14:paraId="11A8150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0E55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44D615DC">
            <w:pPr>
              <w:widowControl/>
              <w:jc w:val="left"/>
              <w:rPr>
                <w:rFonts w:hint="eastAsia" w:ascii="宋体" w:hAnsi="宋体" w:cs="宋体"/>
                <w:kern w:val="0"/>
                <w:sz w:val="20"/>
                <w:szCs w:val="20"/>
              </w:rPr>
            </w:pPr>
          </w:p>
        </w:tc>
        <w:tc>
          <w:tcPr>
            <w:tcW w:w="714" w:type="pct"/>
            <w:shd w:val="clear" w:color="auto" w:fill="auto"/>
            <w:vAlign w:val="center"/>
          </w:tcPr>
          <w:p w14:paraId="64116C2A">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72" w:type="pct"/>
            <w:shd w:val="clear" w:color="auto" w:fill="auto"/>
            <w:vAlign w:val="center"/>
          </w:tcPr>
          <w:p w14:paraId="0B6F7FE5">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62" w:type="pct"/>
            <w:shd w:val="clear" w:color="auto" w:fill="auto"/>
            <w:vAlign w:val="center"/>
          </w:tcPr>
          <w:p w14:paraId="4F8A389A">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2" w:type="pct"/>
            <w:shd w:val="clear" w:color="auto" w:fill="auto"/>
            <w:vAlign w:val="center"/>
          </w:tcPr>
          <w:p w14:paraId="04AA3F92">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10" w:type="pct"/>
            <w:shd w:val="clear" w:color="auto" w:fill="auto"/>
            <w:vAlign w:val="center"/>
          </w:tcPr>
          <w:p w14:paraId="12556C6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722D67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6" w:type="pct"/>
            <w:shd w:val="clear" w:color="auto" w:fill="auto"/>
            <w:vAlign w:val="center"/>
          </w:tcPr>
          <w:p w14:paraId="52F29FB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A6D2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38B75AB9">
            <w:pPr>
              <w:widowControl/>
              <w:jc w:val="left"/>
              <w:rPr>
                <w:rFonts w:hint="eastAsia" w:ascii="宋体" w:hAnsi="宋体" w:cs="宋体"/>
                <w:kern w:val="0"/>
                <w:sz w:val="20"/>
                <w:szCs w:val="20"/>
              </w:rPr>
            </w:pPr>
          </w:p>
        </w:tc>
        <w:tc>
          <w:tcPr>
            <w:tcW w:w="714" w:type="pct"/>
            <w:shd w:val="clear" w:color="auto" w:fill="auto"/>
            <w:vAlign w:val="center"/>
          </w:tcPr>
          <w:p w14:paraId="6D2045F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72" w:type="pct"/>
            <w:shd w:val="clear" w:color="auto" w:fill="auto"/>
            <w:vAlign w:val="center"/>
          </w:tcPr>
          <w:p w14:paraId="0A282D7C">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62" w:type="pct"/>
            <w:shd w:val="clear" w:color="auto" w:fill="auto"/>
            <w:vAlign w:val="center"/>
          </w:tcPr>
          <w:p w14:paraId="42659622">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2" w:type="pct"/>
            <w:shd w:val="clear" w:color="auto" w:fill="auto"/>
            <w:vAlign w:val="center"/>
          </w:tcPr>
          <w:p w14:paraId="4E3D7702">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10" w:type="pct"/>
            <w:shd w:val="clear" w:color="auto" w:fill="auto"/>
            <w:vAlign w:val="center"/>
          </w:tcPr>
          <w:p w14:paraId="270B6D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7C7C746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6" w:type="pct"/>
            <w:shd w:val="clear" w:color="auto" w:fill="auto"/>
            <w:vAlign w:val="center"/>
          </w:tcPr>
          <w:p w14:paraId="4D8A370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3F3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594B76B9">
            <w:pPr>
              <w:widowControl/>
              <w:jc w:val="left"/>
              <w:rPr>
                <w:rFonts w:hint="eastAsia" w:ascii="宋体" w:hAnsi="宋体" w:cs="宋体"/>
                <w:kern w:val="0"/>
                <w:sz w:val="20"/>
                <w:szCs w:val="20"/>
              </w:rPr>
            </w:pPr>
          </w:p>
        </w:tc>
        <w:tc>
          <w:tcPr>
            <w:tcW w:w="714" w:type="pct"/>
            <w:shd w:val="clear" w:color="auto" w:fill="auto"/>
            <w:vAlign w:val="center"/>
          </w:tcPr>
          <w:p w14:paraId="3F1684FA">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72" w:type="pct"/>
            <w:shd w:val="clear" w:color="auto" w:fill="auto"/>
            <w:vAlign w:val="center"/>
          </w:tcPr>
          <w:p w14:paraId="5DF848A1">
            <w:pPr>
              <w:widowControl/>
              <w:jc w:val="center"/>
              <w:rPr>
                <w:rFonts w:hint="eastAsia" w:ascii="宋体" w:hAnsi="宋体" w:cs="宋体"/>
                <w:kern w:val="0"/>
                <w:sz w:val="20"/>
                <w:szCs w:val="20"/>
              </w:rPr>
            </w:pPr>
            <w:r>
              <w:rPr>
                <w:rFonts w:hint="eastAsia" w:ascii="宋体" w:hAnsi="宋体" w:cs="宋体"/>
                <w:kern w:val="0"/>
                <w:sz w:val="20"/>
                <w:szCs w:val="20"/>
              </w:rPr>
              <w:t xml:space="preserve">94.78 </w:t>
            </w:r>
          </w:p>
        </w:tc>
        <w:tc>
          <w:tcPr>
            <w:tcW w:w="762" w:type="pct"/>
            <w:shd w:val="clear" w:color="auto" w:fill="auto"/>
            <w:vAlign w:val="center"/>
          </w:tcPr>
          <w:p w14:paraId="19073237">
            <w:pPr>
              <w:widowControl/>
              <w:jc w:val="center"/>
              <w:rPr>
                <w:rFonts w:hint="eastAsia" w:ascii="宋体" w:hAnsi="宋体" w:cs="宋体"/>
                <w:kern w:val="0"/>
                <w:sz w:val="20"/>
                <w:szCs w:val="20"/>
              </w:rPr>
            </w:pPr>
            <w:r>
              <w:rPr>
                <w:rFonts w:hint="eastAsia" w:ascii="宋体" w:hAnsi="宋体" w:cs="宋体"/>
                <w:kern w:val="0"/>
                <w:sz w:val="20"/>
                <w:szCs w:val="20"/>
              </w:rPr>
              <w:t xml:space="preserve">103.77 </w:t>
            </w:r>
          </w:p>
        </w:tc>
        <w:tc>
          <w:tcPr>
            <w:tcW w:w="742" w:type="pct"/>
            <w:shd w:val="clear" w:color="auto" w:fill="auto"/>
            <w:vAlign w:val="center"/>
          </w:tcPr>
          <w:p w14:paraId="441E26C5">
            <w:pPr>
              <w:widowControl/>
              <w:jc w:val="center"/>
              <w:rPr>
                <w:rFonts w:hint="eastAsia" w:ascii="宋体" w:hAnsi="宋体" w:cs="宋体"/>
                <w:kern w:val="0"/>
                <w:sz w:val="20"/>
                <w:szCs w:val="20"/>
              </w:rPr>
            </w:pPr>
            <w:r>
              <w:rPr>
                <w:rFonts w:hint="eastAsia" w:ascii="宋体" w:hAnsi="宋体" w:cs="宋体"/>
                <w:kern w:val="0"/>
                <w:sz w:val="20"/>
                <w:szCs w:val="20"/>
              </w:rPr>
              <w:t xml:space="preserve">103.77 </w:t>
            </w:r>
          </w:p>
        </w:tc>
        <w:tc>
          <w:tcPr>
            <w:tcW w:w="610" w:type="pct"/>
            <w:shd w:val="clear" w:color="auto" w:fill="auto"/>
            <w:vAlign w:val="center"/>
          </w:tcPr>
          <w:p w14:paraId="53C235A6">
            <w:pPr>
              <w:widowControl/>
              <w:jc w:val="center"/>
              <w:rPr>
                <w:rFonts w:hint="eastAsia" w:ascii="宋体" w:hAnsi="宋体" w:cs="宋体"/>
                <w:kern w:val="0"/>
                <w:sz w:val="20"/>
                <w:szCs w:val="20"/>
              </w:rPr>
            </w:pPr>
            <w:r>
              <w:rPr>
                <w:rFonts w:hint="eastAsia"/>
              </w:rPr>
              <w:t>-</w:t>
            </w:r>
          </w:p>
        </w:tc>
        <w:tc>
          <w:tcPr>
            <w:tcW w:w="450" w:type="pct"/>
            <w:shd w:val="clear" w:color="auto" w:fill="auto"/>
            <w:vAlign w:val="center"/>
          </w:tcPr>
          <w:p w14:paraId="5C90F23A">
            <w:pPr>
              <w:widowControl/>
              <w:jc w:val="center"/>
              <w:rPr>
                <w:rFonts w:hint="eastAsia" w:ascii="宋体" w:hAnsi="宋体" w:cs="宋体"/>
                <w:kern w:val="0"/>
                <w:sz w:val="20"/>
                <w:szCs w:val="20"/>
              </w:rPr>
            </w:pPr>
            <w:r>
              <w:rPr>
                <w:rFonts w:hint="eastAsia"/>
              </w:rPr>
              <w:t>-</w:t>
            </w:r>
          </w:p>
        </w:tc>
        <w:tc>
          <w:tcPr>
            <w:tcW w:w="256" w:type="pct"/>
            <w:shd w:val="clear" w:color="auto" w:fill="auto"/>
            <w:vAlign w:val="center"/>
          </w:tcPr>
          <w:p w14:paraId="3FA97B81">
            <w:pPr>
              <w:widowControl/>
              <w:jc w:val="center"/>
              <w:rPr>
                <w:rFonts w:hint="eastAsia" w:ascii="宋体" w:hAnsi="宋体" w:cs="宋体"/>
                <w:kern w:val="0"/>
                <w:sz w:val="20"/>
                <w:szCs w:val="20"/>
              </w:rPr>
            </w:pPr>
            <w:r>
              <w:rPr>
                <w:rFonts w:hint="eastAsia"/>
              </w:rPr>
              <w:t>-</w:t>
            </w:r>
          </w:p>
        </w:tc>
      </w:tr>
      <w:tr w14:paraId="53609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1C3CC332">
            <w:pPr>
              <w:widowControl/>
              <w:jc w:val="left"/>
              <w:rPr>
                <w:rFonts w:hint="eastAsia" w:ascii="宋体" w:hAnsi="宋体" w:cs="宋体"/>
                <w:kern w:val="0"/>
                <w:sz w:val="20"/>
                <w:szCs w:val="20"/>
              </w:rPr>
            </w:pPr>
          </w:p>
        </w:tc>
        <w:tc>
          <w:tcPr>
            <w:tcW w:w="714" w:type="pct"/>
            <w:shd w:val="clear" w:color="auto" w:fill="auto"/>
            <w:vAlign w:val="center"/>
          </w:tcPr>
          <w:p w14:paraId="62191DFE">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72" w:type="pct"/>
            <w:shd w:val="clear" w:color="auto" w:fill="auto"/>
            <w:vAlign w:val="center"/>
          </w:tcPr>
          <w:p w14:paraId="78A08864">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62" w:type="pct"/>
            <w:shd w:val="clear" w:color="auto" w:fill="auto"/>
            <w:vAlign w:val="center"/>
          </w:tcPr>
          <w:p w14:paraId="419D4C7B">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2" w:type="pct"/>
            <w:shd w:val="clear" w:color="auto" w:fill="auto"/>
            <w:vAlign w:val="center"/>
          </w:tcPr>
          <w:p w14:paraId="4A8BD0BE">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10" w:type="pct"/>
            <w:shd w:val="clear" w:color="auto" w:fill="auto"/>
            <w:vAlign w:val="center"/>
          </w:tcPr>
          <w:p w14:paraId="70D3DC7E">
            <w:pPr>
              <w:widowControl/>
              <w:jc w:val="center"/>
              <w:rPr>
                <w:rFonts w:hint="eastAsia" w:ascii="宋体" w:hAnsi="宋体" w:cs="宋体"/>
                <w:kern w:val="0"/>
                <w:sz w:val="20"/>
                <w:szCs w:val="20"/>
              </w:rPr>
            </w:pPr>
            <w:r>
              <w:rPr>
                <w:rFonts w:hint="eastAsia"/>
              </w:rPr>
              <w:t>-</w:t>
            </w:r>
          </w:p>
        </w:tc>
        <w:tc>
          <w:tcPr>
            <w:tcW w:w="450" w:type="pct"/>
            <w:shd w:val="clear" w:color="auto" w:fill="auto"/>
            <w:vAlign w:val="center"/>
          </w:tcPr>
          <w:p w14:paraId="0ABEB4F4">
            <w:pPr>
              <w:widowControl/>
              <w:jc w:val="center"/>
              <w:rPr>
                <w:rFonts w:hint="eastAsia" w:ascii="宋体" w:hAnsi="宋体" w:cs="宋体"/>
                <w:kern w:val="0"/>
                <w:sz w:val="20"/>
                <w:szCs w:val="20"/>
              </w:rPr>
            </w:pPr>
            <w:r>
              <w:rPr>
                <w:rFonts w:hint="eastAsia"/>
              </w:rPr>
              <w:t>-</w:t>
            </w:r>
          </w:p>
        </w:tc>
        <w:tc>
          <w:tcPr>
            <w:tcW w:w="256" w:type="pct"/>
            <w:shd w:val="clear" w:color="auto" w:fill="auto"/>
            <w:vAlign w:val="center"/>
          </w:tcPr>
          <w:p w14:paraId="5130ACC3">
            <w:pPr>
              <w:widowControl/>
              <w:jc w:val="center"/>
              <w:rPr>
                <w:rFonts w:hint="eastAsia" w:ascii="宋体" w:hAnsi="宋体" w:cs="宋体"/>
                <w:kern w:val="0"/>
                <w:sz w:val="20"/>
                <w:szCs w:val="20"/>
              </w:rPr>
            </w:pPr>
            <w:r>
              <w:rPr>
                <w:rFonts w:hint="eastAsia"/>
              </w:rPr>
              <w:t>-</w:t>
            </w:r>
          </w:p>
        </w:tc>
      </w:tr>
      <w:tr w14:paraId="1B6C4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90" w:type="pct"/>
            <w:vMerge w:val="continue"/>
            <w:vAlign w:val="center"/>
          </w:tcPr>
          <w:p w14:paraId="3A9657A6">
            <w:pPr>
              <w:widowControl/>
              <w:jc w:val="left"/>
              <w:rPr>
                <w:rFonts w:hint="eastAsia" w:ascii="宋体" w:hAnsi="宋体" w:cs="宋体"/>
                <w:kern w:val="0"/>
                <w:sz w:val="20"/>
                <w:szCs w:val="20"/>
              </w:rPr>
            </w:pPr>
          </w:p>
        </w:tc>
        <w:tc>
          <w:tcPr>
            <w:tcW w:w="714" w:type="pct"/>
            <w:shd w:val="clear" w:color="auto" w:fill="auto"/>
            <w:vAlign w:val="center"/>
          </w:tcPr>
          <w:p w14:paraId="34AD60C2">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72" w:type="pct"/>
            <w:shd w:val="clear" w:color="auto" w:fill="auto"/>
            <w:vAlign w:val="center"/>
          </w:tcPr>
          <w:p w14:paraId="7A65CA11">
            <w:pPr>
              <w:widowControl/>
              <w:jc w:val="center"/>
              <w:rPr>
                <w:rFonts w:hint="eastAsia" w:ascii="宋体" w:hAnsi="宋体" w:cs="宋体"/>
                <w:kern w:val="0"/>
                <w:sz w:val="20"/>
                <w:szCs w:val="20"/>
              </w:rPr>
            </w:pPr>
            <w:r>
              <w:rPr>
                <w:rFonts w:hint="eastAsia" w:ascii="宋体" w:hAnsi="宋体" w:cs="宋体"/>
                <w:kern w:val="0"/>
                <w:sz w:val="20"/>
                <w:szCs w:val="20"/>
              </w:rPr>
              <w:t xml:space="preserve">94.78 </w:t>
            </w:r>
          </w:p>
        </w:tc>
        <w:tc>
          <w:tcPr>
            <w:tcW w:w="762" w:type="pct"/>
            <w:shd w:val="clear" w:color="auto" w:fill="auto"/>
            <w:vAlign w:val="center"/>
          </w:tcPr>
          <w:p w14:paraId="2E05D4FB">
            <w:pPr>
              <w:widowControl/>
              <w:jc w:val="center"/>
              <w:rPr>
                <w:rFonts w:hint="eastAsia" w:ascii="宋体" w:hAnsi="宋体" w:cs="宋体"/>
                <w:kern w:val="0"/>
                <w:sz w:val="20"/>
                <w:szCs w:val="20"/>
              </w:rPr>
            </w:pPr>
            <w:r>
              <w:rPr>
                <w:rFonts w:hint="eastAsia" w:ascii="宋体" w:hAnsi="宋体" w:cs="宋体"/>
                <w:kern w:val="0"/>
                <w:sz w:val="20"/>
                <w:szCs w:val="20"/>
              </w:rPr>
              <w:t xml:space="preserve">103.77 </w:t>
            </w:r>
          </w:p>
        </w:tc>
        <w:tc>
          <w:tcPr>
            <w:tcW w:w="742" w:type="pct"/>
            <w:shd w:val="clear" w:color="auto" w:fill="auto"/>
            <w:vAlign w:val="center"/>
          </w:tcPr>
          <w:p w14:paraId="30C85CC1">
            <w:pPr>
              <w:widowControl/>
              <w:jc w:val="center"/>
              <w:rPr>
                <w:rFonts w:hint="eastAsia" w:ascii="宋体" w:hAnsi="宋体" w:cs="宋体"/>
                <w:kern w:val="0"/>
                <w:sz w:val="20"/>
                <w:szCs w:val="20"/>
              </w:rPr>
            </w:pPr>
            <w:r>
              <w:rPr>
                <w:rFonts w:hint="eastAsia" w:ascii="宋体" w:hAnsi="宋体" w:cs="宋体"/>
                <w:kern w:val="0"/>
                <w:sz w:val="20"/>
                <w:szCs w:val="20"/>
              </w:rPr>
              <w:t xml:space="preserve">103.77 </w:t>
            </w:r>
          </w:p>
        </w:tc>
        <w:tc>
          <w:tcPr>
            <w:tcW w:w="610" w:type="pct"/>
            <w:shd w:val="clear" w:color="auto" w:fill="auto"/>
            <w:vAlign w:val="center"/>
          </w:tcPr>
          <w:p w14:paraId="119B1B1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14:paraId="066B76C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256" w:type="pct"/>
            <w:shd w:val="clear" w:color="auto" w:fill="auto"/>
            <w:vAlign w:val="center"/>
          </w:tcPr>
          <w:p w14:paraId="63B7C0C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068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90" w:type="pct"/>
            <w:vMerge w:val="restart"/>
            <w:shd w:val="clear" w:color="auto" w:fill="auto"/>
            <w:vAlign w:val="center"/>
          </w:tcPr>
          <w:p w14:paraId="2400AB5C">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249" w:type="pct"/>
            <w:gridSpan w:val="3"/>
            <w:shd w:val="clear" w:color="auto" w:fill="auto"/>
            <w:noWrap/>
            <w:vAlign w:val="center"/>
          </w:tcPr>
          <w:p w14:paraId="48BAAD6E">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059" w:type="pct"/>
            <w:gridSpan w:val="4"/>
            <w:shd w:val="clear" w:color="auto" w:fill="auto"/>
            <w:noWrap/>
            <w:vAlign w:val="center"/>
          </w:tcPr>
          <w:p w14:paraId="3C9C39F7">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2C2C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90" w:type="pct"/>
            <w:vMerge w:val="continue"/>
            <w:vAlign w:val="center"/>
          </w:tcPr>
          <w:p w14:paraId="55F1468A">
            <w:pPr>
              <w:widowControl/>
              <w:jc w:val="left"/>
              <w:rPr>
                <w:rFonts w:hint="eastAsia" w:ascii="宋体" w:hAnsi="宋体" w:cs="宋体"/>
                <w:kern w:val="0"/>
                <w:sz w:val="20"/>
                <w:szCs w:val="20"/>
              </w:rPr>
            </w:pPr>
          </w:p>
        </w:tc>
        <w:tc>
          <w:tcPr>
            <w:tcW w:w="2249" w:type="pct"/>
            <w:gridSpan w:val="3"/>
            <w:shd w:val="clear" w:color="auto" w:fill="auto"/>
            <w:vAlign w:val="center"/>
          </w:tcPr>
          <w:p w14:paraId="242BFBD1">
            <w:pPr>
              <w:widowControl/>
              <w:jc w:val="center"/>
              <w:rPr>
                <w:rFonts w:hint="eastAsia" w:ascii="宋体" w:hAnsi="宋体" w:cs="宋体"/>
                <w:kern w:val="0"/>
                <w:sz w:val="20"/>
                <w:szCs w:val="20"/>
              </w:rPr>
            </w:pPr>
            <w:r>
              <w:rPr>
                <w:rFonts w:hint="eastAsia" w:ascii="宋体" w:hAnsi="宋体" w:cs="宋体"/>
                <w:kern w:val="0"/>
                <w:sz w:val="20"/>
                <w:szCs w:val="20"/>
              </w:rPr>
              <w:t>开展地震监测预报工作，完成全年365天的地震监测数据分析、上报工作；开展防震减灾宣传2次，普及防震减灾知识，提高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59" w:type="pct"/>
            <w:gridSpan w:val="4"/>
            <w:shd w:val="clear" w:color="auto" w:fill="auto"/>
            <w:vAlign w:val="center"/>
          </w:tcPr>
          <w:p w14:paraId="4668590B">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节点，我单位已完成如下工作：完成了全年365天的地震监测数据分析、上报工作；开展防震减灾宣传2次，普及防震减灾知识，提高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14:paraId="465B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90" w:type="pct"/>
            <w:shd w:val="clear" w:color="auto" w:fill="auto"/>
            <w:vAlign w:val="center"/>
          </w:tcPr>
          <w:p w14:paraId="4CAF0147">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714" w:type="pct"/>
            <w:shd w:val="clear" w:color="auto" w:fill="auto"/>
            <w:vAlign w:val="center"/>
          </w:tcPr>
          <w:p w14:paraId="70D0ECC3">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72" w:type="pct"/>
            <w:shd w:val="clear" w:color="auto" w:fill="auto"/>
            <w:vAlign w:val="center"/>
          </w:tcPr>
          <w:p w14:paraId="1A17EB3B">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62" w:type="pct"/>
            <w:shd w:val="clear" w:color="auto" w:fill="auto"/>
            <w:vAlign w:val="center"/>
          </w:tcPr>
          <w:p w14:paraId="22A7E99D">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742" w:type="pct"/>
            <w:shd w:val="clear" w:color="auto" w:fill="auto"/>
            <w:vAlign w:val="center"/>
          </w:tcPr>
          <w:p w14:paraId="1EB9E1D6">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610" w:type="pct"/>
            <w:shd w:val="clear" w:color="auto" w:fill="auto"/>
            <w:vAlign w:val="center"/>
          </w:tcPr>
          <w:p w14:paraId="5C199240">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14:paraId="5C0C9457">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256" w:type="pct"/>
            <w:shd w:val="clear" w:color="auto" w:fill="auto"/>
            <w:vAlign w:val="center"/>
          </w:tcPr>
          <w:p w14:paraId="69A3A771">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2643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shd w:val="clear" w:color="auto" w:fill="auto"/>
            <w:vAlign w:val="center"/>
          </w:tcPr>
          <w:p w14:paraId="42002F62">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714" w:type="pct"/>
            <w:vMerge w:val="restart"/>
            <w:shd w:val="clear" w:color="auto" w:fill="auto"/>
            <w:vAlign w:val="center"/>
          </w:tcPr>
          <w:p w14:paraId="1C2690D4">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72" w:type="pct"/>
            <w:shd w:val="clear" w:color="auto" w:fill="auto"/>
            <w:vAlign w:val="center"/>
          </w:tcPr>
          <w:p w14:paraId="0E8EE0C5">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62" w:type="pct"/>
            <w:shd w:val="clear" w:color="auto" w:fill="auto"/>
            <w:vAlign w:val="center"/>
          </w:tcPr>
          <w:p w14:paraId="1A51B18C">
            <w:pPr>
              <w:widowControl/>
              <w:jc w:val="center"/>
              <w:rPr>
                <w:rFonts w:hint="eastAsia" w:ascii="宋体" w:hAnsi="宋体" w:cs="宋体"/>
                <w:kern w:val="0"/>
                <w:sz w:val="20"/>
                <w:szCs w:val="20"/>
              </w:rPr>
            </w:pPr>
            <w:r>
              <w:rPr>
                <w:rFonts w:hint="eastAsia" w:ascii="宋体" w:hAnsi="宋体" w:cs="宋体"/>
                <w:kern w:val="0"/>
                <w:sz w:val="20"/>
                <w:szCs w:val="20"/>
              </w:rPr>
              <w:t>&gt;=5人</w:t>
            </w:r>
          </w:p>
        </w:tc>
        <w:tc>
          <w:tcPr>
            <w:tcW w:w="742" w:type="pct"/>
            <w:shd w:val="clear" w:color="auto" w:fill="auto"/>
            <w:vAlign w:val="center"/>
          </w:tcPr>
          <w:p w14:paraId="4B150261">
            <w:pPr>
              <w:widowControl/>
              <w:jc w:val="center"/>
              <w:rPr>
                <w:rFonts w:hint="eastAsia" w:ascii="宋体" w:hAnsi="宋体" w:cs="宋体"/>
                <w:kern w:val="0"/>
                <w:sz w:val="20"/>
                <w:szCs w:val="20"/>
              </w:rPr>
            </w:pPr>
            <w:r>
              <w:rPr>
                <w:rFonts w:hint="eastAsia" w:ascii="宋体" w:hAnsi="宋体" w:cs="宋体"/>
                <w:kern w:val="0"/>
                <w:sz w:val="20"/>
                <w:szCs w:val="20"/>
              </w:rPr>
              <w:t>关于木垒哈萨克自治县应急管理局所属事业单位机构编制调整有关事宜的通知</w:t>
            </w:r>
          </w:p>
        </w:tc>
        <w:tc>
          <w:tcPr>
            <w:tcW w:w="610" w:type="pct"/>
            <w:shd w:val="clear" w:color="auto" w:fill="auto"/>
            <w:vAlign w:val="center"/>
          </w:tcPr>
          <w:p w14:paraId="000917C3">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77E1431E">
            <w:pPr>
              <w:widowControl/>
              <w:jc w:val="center"/>
              <w:rPr>
                <w:rFonts w:hint="eastAsia" w:ascii="宋体" w:hAnsi="宋体" w:cs="宋体"/>
                <w:kern w:val="0"/>
                <w:sz w:val="20"/>
                <w:szCs w:val="20"/>
              </w:rPr>
            </w:pPr>
            <w:r>
              <w:rPr>
                <w:rFonts w:hint="eastAsia" w:ascii="宋体" w:hAnsi="宋体" w:cs="宋体"/>
                <w:kern w:val="0"/>
                <w:sz w:val="20"/>
                <w:szCs w:val="20"/>
              </w:rPr>
              <w:t>5人</w:t>
            </w:r>
          </w:p>
        </w:tc>
        <w:tc>
          <w:tcPr>
            <w:tcW w:w="256" w:type="pct"/>
            <w:shd w:val="clear" w:color="auto" w:fill="auto"/>
            <w:vAlign w:val="center"/>
          </w:tcPr>
          <w:p w14:paraId="17D8C758">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36FBA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restart"/>
            <w:shd w:val="clear" w:color="auto" w:fill="auto"/>
            <w:vAlign w:val="center"/>
          </w:tcPr>
          <w:p w14:paraId="0A6D4509">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714" w:type="pct"/>
            <w:vMerge w:val="continue"/>
            <w:vAlign w:val="center"/>
          </w:tcPr>
          <w:p w14:paraId="1CFE1E0C">
            <w:pPr>
              <w:widowControl/>
              <w:jc w:val="left"/>
              <w:rPr>
                <w:rFonts w:hint="eastAsia" w:ascii="宋体" w:hAnsi="宋体" w:cs="宋体"/>
                <w:kern w:val="0"/>
                <w:sz w:val="20"/>
                <w:szCs w:val="20"/>
              </w:rPr>
            </w:pPr>
          </w:p>
        </w:tc>
        <w:tc>
          <w:tcPr>
            <w:tcW w:w="772" w:type="pct"/>
            <w:shd w:val="clear" w:color="auto" w:fill="auto"/>
            <w:vAlign w:val="center"/>
          </w:tcPr>
          <w:p w14:paraId="5BD3798A">
            <w:pPr>
              <w:widowControl/>
              <w:jc w:val="center"/>
              <w:rPr>
                <w:rFonts w:hint="eastAsia" w:ascii="宋体" w:hAnsi="宋体" w:cs="宋体"/>
                <w:kern w:val="0"/>
                <w:sz w:val="20"/>
                <w:szCs w:val="20"/>
              </w:rPr>
            </w:pPr>
            <w:r>
              <w:rPr>
                <w:rFonts w:hint="eastAsia" w:ascii="宋体" w:hAnsi="宋体" w:cs="宋体"/>
                <w:kern w:val="0"/>
                <w:sz w:val="20"/>
                <w:szCs w:val="20"/>
              </w:rPr>
              <w:t>每周政治、业务学习次数</w:t>
            </w:r>
          </w:p>
        </w:tc>
        <w:tc>
          <w:tcPr>
            <w:tcW w:w="762" w:type="pct"/>
            <w:shd w:val="clear" w:color="auto" w:fill="auto"/>
            <w:vAlign w:val="center"/>
          </w:tcPr>
          <w:p w14:paraId="5AEA9266">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742" w:type="pct"/>
            <w:shd w:val="clear" w:color="auto" w:fill="auto"/>
            <w:vAlign w:val="center"/>
          </w:tcPr>
          <w:p w14:paraId="73FF4924">
            <w:pPr>
              <w:widowControl/>
              <w:jc w:val="center"/>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vAlign w:val="center"/>
          </w:tcPr>
          <w:p w14:paraId="23A5CE1C">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2AE0CE88">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256" w:type="pct"/>
            <w:shd w:val="clear" w:color="auto" w:fill="auto"/>
            <w:vAlign w:val="center"/>
          </w:tcPr>
          <w:p w14:paraId="0D600064">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0D71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701B88F0">
            <w:pPr>
              <w:widowControl/>
              <w:jc w:val="left"/>
              <w:rPr>
                <w:rFonts w:hint="eastAsia" w:ascii="宋体" w:hAnsi="宋体" w:cs="宋体"/>
                <w:kern w:val="0"/>
                <w:sz w:val="20"/>
                <w:szCs w:val="20"/>
              </w:rPr>
            </w:pPr>
          </w:p>
        </w:tc>
        <w:tc>
          <w:tcPr>
            <w:tcW w:w="714" w:type="pct"/>
            <w:shd w:val="clear" w:color="auto" w:fill="auto"/>
            <w:vAlign w:val="center"/>
          </w:tcPr>
          <w:p w14:paraId="6B614C35">
            <w:pPr>
              <w:widowControl/>
              <w:jc w:val="center"/>
              <w:rPr>
                <w:rFonts w:hint="eastAsia" w:ascii="宋体" w:hAnsi="宋体" w:cs="宋体"/>
                <w:kern w:val="0"/>
                <w:sz w:val="20"/>
                <w:szCs w:val="20"/>
              </w:rPr>
            </w:pPr>
            <w:r>
              <w:rPr>
                <w:rFonts w:hint="eastAsia" w:ascii="宋体" w:hAnsi="宋体" w:cs="宋体"/>
                <w:kern w:val="0"/>
                <w:sz w:val="20"/>
                <w:szCs w:val="20"/>
              </w:rPr>
              <w:t>成本指标</w:t>
            </w:r>
          </w:p>
        </w:tc>
        <w:tc>
          <w:tcPr>
            <w:tcW w:w="772" w:type="pct"/>
            <w:shd w:val="clear" w:color="auto" w:fill="auto"/>
            <w:vAlign w:val="center"/>
          </w:tcPr>
          <w:p w14:paraId="0EB57230">
            <w:pPr>
              <w:widowControl/>
              <w:jc w:val="center"/>
              <w:rPr>
                <w:rFonts w:hint="eastAsia" w:ascii="宋体" w:hAnsi="宋体" w:cs="宋体"/>
                <w:kern w:val="0"/>
                <w:sz w:val="20"/>
                <w:szCs w:val="20"/>
              </w:rPr>
            </w:pPr>
            <w:r>
              <w:rPr>
                <w:rFonts w:hint="eastAsia" w:ascii="宋体" w:hAnsi="宋体" w:cs="宋体"/>
                <w:kern w:val="0"/>
                <w:sz w:val="20"/>
                <w:szCs w:val="20"/>
              </w:rPr>
              <w:t>宏观观测点经费支出</w:t>
            </w:r>
          </w:p>
        </w:tc>
        <w:tc>
          <w:tcPr>
            <w:tcW w:w="762" w:type="pct"/>
            <w:shd w:val="clear" w:color="auto" w:fill="auto"/>
            <w:vAlign w:val="center"/>
          </w:tcPr>
          <w:p w14:paraId="61EA4253">
            <w:pPr>
              <w:widowControl/>
              <w:jc w:val="center"/>
              <w:rPr>
                <w:rFonts w:hint="eastAsia" w:ascii="宋体" w:hAnsi="宋体" w:cs="宋体"/>
                <w:kern w:val="0"/>
                <w:sz w:val="20"/>
                <w:szCs w:val="20"/>
              </w:rPr>
            </w:pPr>
            <w:r>
              <w:rPr>
                <w:rFonts w:hint="eastAsia" w:ascii="宋体" w:hAnsi="宋体" w:cs="宋体"/>
                <w:kern w:val="0"/>
                <w:sz w:val="20"/>
                <w:szCs w:val="20"/>
              </w:rPr>
              <w:t>&lt;=1.20万元</w:t>
            </w:r>
          </w:p>
        </w:tc>
        <w:tc>
          <w:tcPr>
            <w:tcW w:w="742" w:type="pct"/>
            <w:shd w:val="clear" w:color="auto" w:fill="auto"/>
            <w:vAlign w:val="center"/>
          </w:tcPr>
          <w:p w14:paraId="72FF4E67">
            <w:pPr>
              <w:widowControl/>
              <w:jc w:val="center"/>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vAlign w:val="center"/>
          </w:tcPr>
          <w:p w14:paraId="476FC6F8">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14:paraId="2630F42F">
            <w:pPr>
              <w:widowControl/>
              <w:jc w:val="center"/>
              <w:rPr>
                <w:rFonts w:hint="eastAsia" w:ascii="宋体" w:hAnsi="宋体" w:cs="宋体"/>
                <w:kern w:val="0"/>
                <w:sz w:val="20"/>
                <w:szCs w:val="20"/>
              </w:rPr>
            </w:pPr>
            <w:r>
              <w:rPr>
                <w:rFonts w:hint="eastAsia" w:ascii="宋体" w:hAnsi="宋体" w:cs="宋体"/>
                <w:kern w:val="0"/>
                <w:sz w:val="20"/>
                <w:szCs w:val="20"/>
              </w:rPr>
              <w:t>1.2万元</w:t>
            </w:r>
          </w:p>
        </w:tc>
        <w:tc>
          <w:tcPr>
            <w:tcW w:w="256" w:type="pct"/>
            <w:shd w:val="clear" w:color="auto" w:fill="auto"/>
            <w:vAlign w:val="center"/>
          </w:tcPr>
          <w:p w14:paraId="3F146B9E">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6B88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restart"/>
            <w:shd w:val="clear" w:color="auto" w:fill="auto"/>
            <w:vAlign w:val="center"/>
          </w:tcPr>
          <w:p w14:paraId="5113135A">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714" w:type="pct"/>
            <w:vMerge w:val="restart"/>
            <w:shd w:val="clear" w:color="auto" w:fill="auto"/>
            <w:vAlign w:val="center"/>
          </w:tcPr>
          <w:p w14:paraId="63DA38E3">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72" w:type="pct"/>
            <w:shd w:val="clear" w:color="auto" w:fill="auto"/>
            <w:vAlign w:val="center"/>
          </w:tcPr>
          <w:p w14:paraId="45C54A76">
            <w:pPr>
              <w:widowControl/>
              <w:jc w:val="center"/>
              <w:rPr>
                <w:rFonts w:hint="eastAsia" w:ascii="宋体" w:hAnsi="宋体" w:cs="宋体"/>
                <w:kern w:val="0"/>
                <w:sz w:val="20"/>
                <w:szCs w:val="20"/>
              </w:rPr>
            </w:pPr>
            <w:r>
              <w:rPr>
                <w:rFonts w:hint="eastAsia" w:ascii="宋体" w:hAnsi="宋体" w:cs="宋体"/>
                <w:kern w:val="0"/>
                <w:sz w:val="20"/>
                <w:szCs w:val="20"/>
              </w:rPr>
              <w:t>全年地震监测天数</w:t>
            </w:r>
          </w:p>
        </w:tc>
        <w:tc>
          <w:tcPr>
            <w:tcW w:w="762" w:type="pct"/>
            <w:shd w:val="clear" w:color="auto" w:fill="auto"/>
            <w:vAlign w:val="center"/>
          </w:tcPr>
          <w:p w14:paraId="3CC65D38">
            <w:pPr>
              <w:widowControl/>
              <w:jc w:val="center"/>
              <w:rPr>
                <w:rFonts w:hint="eastAsia" w:ascii="宋体" w:hAnsi="宋体" w:cs="宋体"/>
                <w:kern w:val="0"/>
                <w:sz w:val="20"/>
                <w:szCs w:val="20"/>
              </w:rPr>
            </w:pPr>
            <w:r>
              <w:rPr>
                <w:rFonts w:hint="eastAsia" w:ascii="宋体" w:hAnsi="宋体" w:cs="宋体"/>
                <w:kern w:val="0"/>
                <w:sz w:val="20"/>
                <w:szCs w:val="20"/>
              </w:rPr>
              <w:t>=365天</w:t>
            </w:r>
          </w:p>
        </w:tc>
        <w:tc>
          <w:tcPr>
            <w:tcW w:w="742" w:type="pct"/>
            <w:shd w:val="clear" w:color="auto" w:fill="auto"/>
            <w:vAlign w:val="center"/>
          </w:tcPr>
          <w:p w14:paraId="20F30AB5">
            <w:pPr>
              <w:widowControl/>
              <w:jc w:val="center"/>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vAlign w:val="center"/>
          </w:tcPr>
          <w:p w14:paraId="26EE81A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26F154A4">
            <w:pPr>
              <w:widowControl/>
              <w:jc w:val="center"/>
              <w:rPr>
                <w:rFonts w:hint="eastAsia" w:ascii="宋体" w:hAnsi="宋体" w:cs="宋体"/>
                <w:kern w:val="0"/>
                <w:sz w:val="20"/>
                <w:szCs w:val="20"/>
              </w:rPr>
            </w:pPr>
            <w:r>
              <w:rPr>
                <w:rFonts w:hint="eastAsia" w:ascii="宋体" w:hAnsi="宋体" w:cs="宋体"/>
                <w:kern w:val="0"/>
                <w:sz w:val="20"/>
                <w:szCs w:val="20"/>
              </w:rPr>
              <w:t>365天</w:t>
            </w:r>
          </w:p>
        </w:tc>
        <w:tc>
          <w:tcPr>
            <w:tcW w:w="256" w:type="pct"/>
            <w:shd w:val="clear" w:color="auto" w:fill="auto"/>
            <w:vAlign w:val="center"/>
          </w:tcPr>
          <w:p w14:paraId="1348D10D">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76BD1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7358681E">
            <w:pPr>
              <w:widowControl/>
              <w:jc w:val="left"/>
              <w:rPr>
                <w:rFonts w:hint="eastAsia" w:ascii="宋体" w:hAnsi="宋体" w:cs="宋体"/>
                <w:kern w:val="0"/>
                <w:sz w:val="20"/>
                <w:szCs w:val="20"/>
              </w:rPr>
            </w:pPr>
          </w:p>
        </w:tc>
        <w:tc>
          <w:tcPr>
            <w:tcW w:w="714" w:type="pct"/>
            <w:vMerge w:val="continue"/>
            <w:vAlign w:val="center"/>
          </w:tcPr>
          <w:p w14:paraId="219F332C">
            <w:pPr>
              <w:widowControl/>
              <w:jc w:val="left"/>
              <w:rPr>
                <w:rFonts w:hint="eastAsia" w:ascii="宋体" w:hAnsi="宋体" w:cs="宋体"/>
                <w:kern w:val="0"/>
                <w:sz w:val="20"/>
                <w:szCs w:val="20"/>
              </w:rPr>
            </w:pPr>
          </w:p>
        </w:tc>
        <w:tc>
          <w:tcPr>
            <w:tcW w:w="772" w:type="pct"/>
            <w:shd w:val="clear" w:color="auto" w:fill="auto"/>
            <w:vAlign w:val="center"/>
          </w:tcPr>
          <w:p w14:paraId="737AE497">
            <w:pPr>
              <w:widowControl/>
              <w:jc w:val="center"/>
              <w:rPr>
                <w:rFonts w:hint="eastAsia" w:ascii="宋体" w:hAnsi="宋体" w:cs="宋体"/>
                <w:kern w:val="0"/>
                <w:sz w:val="20"/>
                <w:szCs w:val="20"/>
              </w:rPr>
            </w:pPr>
            <w:r>
              <w:rPr>
                <w:rFonts w:hint="eastAsia" w:ascii="宋体" w:hAnsi="宋体" w:cs="宋体"/>
                <w:kern w:val="0"/>
                <w:sz w:val="20"/>
                <w:szCs w:val="20"/>
              </w:rPr>
              <w:t>每日数据上报次数</w:t>
            </w:r>
          </w:p>
        </w:tc>
        <w:tc>
          <w:tcPr>
            <w:tcW w:w="762" w:type="pct"/>
            <w:shd w:val="clear" w:color="auto" w:fill="auto"/>
            <w:vAlign w:val="center"/>
          </w:tcPr>
          <w:p w14:paraId="4CA06B3E">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742" w:type="pct"/>
            <w:shd w:val="clear" w:color="auto" w:fill="auto"/>
            <w:vAlign w:val="center"/>
          </w:tcPr>
          <w:p w14:paraId="413F0310">
            <w:pPr>
              <w:widowControl/>
              <w:jc w:val="center"/>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vAlign w:val="center"/>
          </w:tcPr>
          <w:p w14:paraId="296558FA">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30133255">
            <w:pPr>
              <w:widowControl/>
              <w:jc w:val="center"/>
              <w:rPr>
                <w:rFonts w:hint="eastAsia" w:ascii="宋体" w:hAnsi="宋体" w:cs="宋体"/>
                <w:kern w:val="0"/>
                <w:sz w:val="20"/>
                <w:szCs w:val="20"/>
              </w:rPr>
            </w:pPr>
            <w:r>
              <w:rPr>
                <w:rFonts w:hint="eastAsia" w:ascii="宋体" w:hAnsi="宋体" w:cs="宋体"/>
                <w:kern w:val="0"/>
                <w:sz w:val="20"/>
                <w:szCs w:val="20"/>
              </w:rPr>
              <w:t>2次</w:t>
            </w:r>
          </w:p>
        </w:tc>
        <w:tc>
          <w:tcPr>
            <w:tcW w:w="256" w:type="pct"/>
            <w:shd w:val="clear" w:color="auto" w:fill="auto"/>
            <w:vAlign w:val="center"/>
          </w:tcPr>
          <w:p w14:paraId="6B7EB39A">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57C29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4FC7528D">
            <w:pPr>
              <w:widowControl/>
              <w:jc w:val="left"/>
              <w:rPr>
                <w:rFonts w:hint="eastAsia" w:ascii="宋体" w:hAnsi="宋体" w:cs="宋体"/>
                <w:kern w:val="0"/>
                <w:sz w:val="20"/>
                <w:szCs w:val="20"/>
              </w:rPr>
            </w:pPr>
          </w:p>
        </w:tc>
        <w:tc>
          <w:tcPr>
            <w:tcW w:w="714" w:type="pct"/>
            <w:vMerge w:val="continue"/>
            <w:vAlign w:val="center"/>
          </w:tcPr>
          <w:p w14:paraId="2CB6CBA8">
            <w:pPr>
              <w:widowControl/>
              <w:jc w:val="left"/>
              <w:rPr>
                <w:rFonts w:hint="eastAsia" w:ascii="宋体" w:hAnsi="宋体" w:cs="宋体"/>
                <w:kern w:val="0"/>
                <w:sz w:val="20"/>
                <w:szCs w:val="20"/>
              </w:rPr>
            </w:pPr>
          </w:p>
        </w:tc>
        <w:tc>
          <w:tcPr>
            <w:tcW w:w="772" w:type="pct"/>
            <w:shd w:val="clear" w:color="auto" w:fill="auto"/>
            <w:vAlign w:val="center"/>
          </w:tcPr>
          <w:p w14:paraId="7BAFBD1A">
            <w:pPr>
              <w:widowControl/>
              <w:jc w:val="center"/>
              <w:rPr>
                <w:rFonts w:hint="eastAsia" w:ascii="宋体" w:hAnsi="宋体" w:cs="宋体"/>
                <w:kern w:val="0"/>
                <w:sz w:val="20"/>
                <w:szCs w:val="20"/>
              </w:rPr>
            </w:pPr>
            <w:r>
              <w:rPr>
                <w:rFonts w:hint="eastAsia" w:ascii="宋体" w:hAnsi="宋体" w:cs="宋体"/>
                <w:kern w:val="0"/>
                <w:sz w:val="20"/>
                <w:szCs w:val="20"/>
              </w:rPr>
              <w:t>宏观观测点个数</w:t>
            </w:r>
          </w:p>
        </w:tc>
        <w:tc>
          <w:tcPr>
            <w:tcW w:w="762" w:type="pct"/>
            <w:shd w:val="clear" w:color="auto" w:fill="auto"/>
            <w:vAlign w:val="center"/>
          </w:tcPr>
          <w:p w14:paraId="1FF67CD1">
            <w:pPr>
              <w:widowControl/>
              <w:jc w:val="center"/>
              <w:rPr>
                <w:rFonts w:hint="eastAsia" w:ascii="宋体" w:hAnsi="宋体" w:cs="宋体"/>
                <w:kern w:val="0"/>
                <w:sz w:val="20"/>
                <w:szCs w:val="20"/>
              </w:rPr>
            </w:pPr>
            <w:r>
              <w:rPr>
                <w:rFonts w:hint="eastAsia" w:ascii="宋体" w:hAnsi="宋体" w:cs="宋体"/>
                <w:kern w:val="0"/>
                <w:sz w:val="20"/>
                <w:szCs w:val="20"/>
              </w:rPr>
              <w:t>&gt;=5个</w:t>
            </w:r>
          </w:p>
        </w:tc>
        <w:tc>
          <w:tcPr>
            <w:tcW w:w="742" w:type="pct"/>
            <w:shd w:val="clear" w:color="auto" w:fill="auto"/>
            <w:vAlign w:val="center"/>
          </w:tcPr>
          <w:p w14:paraId="4E1F26D5">
            <w:pPr>
              <w:widowControl/>
              <w:jc w:val="center"/>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vAlign w:val="center"/>
          </w:tcPr>
          <w:p w14:paraId="1C21891B">
            <w:pPr>
              <w:widowControl/>
              <w:jc w:val="center"/>
              <w:rPr>
                <w:rFonts w:hint="eastAsia"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14:paraId="4D958E79">
            <w:pPr>
              <w:widowControl/>
              <w:jc w:val="center"/>
              <w:rPr>
                <w:rFonts w:hint="eastAsia" w:ascii="宋体" w:hAnsi="宋体" w:cs="宋体"/>
                <w:kern w:val="0"/>
                <w:sz w:val="20"/>
                <w:szCs w:val="20"/>
              </w:rPr>
            </w:pPr>
            <w:r>
              <w:rPr>
                <w:rFonts w:hint="eastAsia" w:ascii="宋体" w:hAnsi="宋体" w:cs="宋体"/>
                <w:kern w:val="0"/>
                <w:sz w:val="20"/>
                <w:szCs w:val="20"/>
              </w:rPr>
              <w:t>5个</w:t>
            </w:r>
          </w:p>
        </w:tc>
        <w:tc>
          <w:tcPr>
            <w:tcW w:w="256" w:type="pct"/>
            <w:shd w:val="clear" w:color="auto" w:fill="auto"/>
            <w:vAlign w:val="center"/>
          </w:tcPr>
          <w:p w14:paraId="7D87A49A">
            <w:pPr>
              <w:widowControl/>
              <w:jc w:val="center"/>
              <w:rPr>
                <w:rFonts w:hint="eastAsia" w:ascii="宋体" w:hAnsi="宋体" w:cs="宋体"/>
                <w:kern w:val="0"/>
                <w:sz w:val="20"/>
                <w:szCs w:val="20"/>
              </w:rPr>
            </w:pPr>
            <w:r>
              <w:rPr>
                <w:rFonts w:hint="eastAsia" w:ascii="宋体" w:hAnsi="宋体" w:cs="宋体"/>
                <w:kern w:val="0"/>
                <w:sz w:val="20"/>
                <w:szCs w:val="20"/>
              </w:rPr>
              <w:t>6</w:t>
            </w:r>
          </w:p>
        </w:tc>
      </w:tr>
      <w:tr w14:paraId="757A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5E2774AD">
            <w:pPr>
              <w:widowControl/>
              <w:jc w:val="left"/>
              <w:rPr>
                <w:rFonts w:hint="eastAsia" w:ascii="宋体" w:hAnsi="宋体" w:cs="宋体"/>
                <w:kern w:val="0"/>
                <w:sz w:val="20"/>
                <w:szCs w:val="20"/>
              </w:rPr>
            </w:pPr>
          </w:p>
        </w:tc>
        <w:tc>
          <w:tcPr>
            <w:tcW w:w="714" w:type="pct"/>
            <w:vMerge w:val="continue"/>
            <w:vAlign w:val="center"/>
          </w:tcPr>
          <w:p w14:paraId="2AB3F75A">
            <w:pPr>
              <w:widowControl/>
              <w:jc w:val="left"/>
              <w:rPr>
                <w:rFonts w:hint="eastAsia" w:ascii="宋体" w:hAnsi="宋体" w:cs="宋体"/>
                <w:kern w:val="0"/>
                <w:sz w:val="20"/>
                <w:szCs w:val="20"/>
              </w:rPr>
            </w:pPr>
          </w:p>
        </w:tc>
        <w:tc>
          <w:tcPr>
            <w:tcW w:w="772" w:type="pct"/>
            <w:shd w:val="clear" w:color="auto" w:fill="auto"/>
            <w:noWrap/>
            <w:vAlign w:val="center"/>
          </w:tcPr>
          <w:p w14:paraId="5524FDC1">
            <w:pPr>
              <w:widowControl/>
              <w:jc w:val="left"/>
              <w:rPr>
                <w:rFonts w:hint="eastAsia" w:ascii="宋体" w:hAnsi="宋体" w:cs="宋体"/>
                <w:kern w:val="0"/>
                <w:sz w:val="20"/>
                <w:szCs w:val="20"/>
              </w:rPr>
            </w:pPr>
            <w:r>
              <w:rPr>
                <w:rFonts w:hint="eastAsia" w:ascii="宋体" w:hAnsi="宋体" w:cs="宋体"/>
                <w:kern w:val="0"/>
                <w:sz w:val="20"/>
                <w:szCs w:val="20"/>
              </w:rPr>
              <w:t>防震减灾宣传次数</w:t>
            </w:r>
          </w:p>
        </w:tc>
        <w:tc>
          <w:tcPr>
            <w:tcW w:w="762" w:type="pct"/>
            <w:shd w:val="clear" w:color="auto" w:fill="auto"/>
            <w:noWrap/>
            <w:vAlign w:val="center"/>
          </w:tcPr>
          <w:p w14:paraId="0727A896">
            <w:pPr>
              <w:widowControl/>
              <w:jc w:val="left"/>
              <w:rPr>
                <w:rFonts w:hint="eastAsia" w:ascii="宋体" w:hAnsi="宋体" w:cs="宋体"/>
                <w:kern w:val="0"/>
                <w:sz w:val="20"/>
                <w:szCs w:val="20"/>
              </w:rPr>
            </w:pPr>
            <w:r>
              <w:rPr>
                <w:rFonts w:hint="eastAsia" w:ascii="宋体" w:hAnsi="宋体" w:cs="宋体"/>
                <w:kern w:val="0"/>
                <w:sz w:val="20"/>
                <w:szCs w:val="20"/>
              </w:rPr>
              <w:t>&gt;=2次</w:t>
            </w:r>
          </w:p>
        </w:tc>
        <w:tc>
          <w:tcPr>
            <w:tcW w:w="742" w:type="pct"/>
            <w:shd w:val="clear" w:color="auto" w:fill="auto"/>
            <w:noWrap/>
            <w:vAlign w:val="center"/>
          </w:tcPr>
          <w:p w14:paraId="177B434F">
            <w:pPr>
              <w:widowControl/>
              <w:jc w:val="left"/>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noWrap/>
            <w:vAlign w:val="center"/>
          </w:tcPr>
          <w:p w14:paraId="6ED1E5BE">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14:paraId="0567A522">
            <w:pPr>
              <w:widowControl/>
              <w:jc w:val="left"/>
              <w:rPr>
                <w:rFonts w:hint="eastAsia" w:ascii="宋体" w:hAnsi="宋体" w:cs="宋体"/>
                <w:kern w:val="0"/>
                <w:sz w:val="20"/>
                <w:szCs w:val="20"/>
              </w:rPr>
            </w:pPr>
            <w:r>
              <w:rPr>
                <w:rFonts w:hint="eastAsia" w:ascii="宋体" w:hAnsi="宋体" w:cs="宋体"/>
                <w:kern w:val="0"/>
                <w:sz w:val="20"/>
                <w:szCs w:val="20"/>
              </w:rPr>
              <w:t>2次</w:t>
            </w:r>
          </w:p>
        </w:tc>
        <w:tc>
          <w:tcPr>
            <w:tcW w:w="256" w:type="pct"/>
            <w:shd w:val="clear" w:color="auto" w:fill="auto"/>
            <w:noWrap/>
            <w:vAlign w:val="center"/>
          </w:tcPr>
          <w:p w14:paraId="7436CD9C">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418D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01FFFAFD">
            <w:pPr>
              <w:widowControl/>
              <w:jc w:val="left"/>
              <w:rPr>
                <w:rFonts w:hint="eastAsia" w:ascii="宋体" w:hAnsi="宋体" w:cs="宋体"/>
                <w:kern w:val="0"/>
                <w:sz w:val="20"/>
                <w:szCs w:val="20"/>
              </w:rPr>
            </w:pPr>
          </w:p>
        </w:tc>
        <w:tc>
          <w:tcPr>
            <w:tcW w:w="714" w:type="pct"/>
            <w:vMerge w:val="restart"/>
            <w:shd w:val="clear" w:color="auto" w:fill="auto"/>
            <w:noWrap/>
            <w:vAlign w:val="center"/>
          </w:tcPr>
          <w:p w14:paraId="544C78FA">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72" w:type="pct"/>
            <w:shd w:val="clear" w:color="auto" w:fill="auto"/>
            <w:noWrap/>
            <w:vAlign w:val="center"/>
          </w:tcPr>
          <w:p w14:paraId="14C9EA17">
            <w:pPr>
              <w:widowControl/>
              <w:jc w:val="left"/>
              <w:rPr>
                <w:rFonts w:hint="eastAsia" w:ascii="宋体" w:hAnsi="宋体" w:cs="宋体"/>
                <w:kern w:val="0"/>
                <w:sz w:val="20"/>
                <w:szCs w:val="20"/>
              </w:rPr>
            </w:pPr>
            <w:r>
              <w:rPr>
                <w:rFonts w:hint="eastAsia" w:ascii="宋体" w:hAnsi="宋体" w:cs="宋体"/>
                <w:kern w:val="0"/>
                <w:sz w:val="20"/>
                <w:szCs w:val="20"/>
              </w:rPr>
              <w:t>宏观观测员培训率</w:t>
            </w:r>
          </w:p>
        </w:tc>
        <w:tc>
          <w:tcPr>
            <w:tcW w:w="762" w:type="pct"/>
            <w:shd w:val="clear" w:color="auto" w:fill="auto"/>
            <w:noWrap/>
            <w:vAlign w:val="center"/>
          </w:tcPr>
          <w:p w14:paraId="2126219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742" w:type="pct"/>
            <w:shd w:val="clear" w:color="auto" w:fill="auto"/>
            <w:noWrap/>
            <w:vAlign w:val="center"/>
          </w:tcPr>
          <w:p w14:paraId="4EE452C9">
            <w:pPr>
              <w:widowControl/>
              <w:jc w:val="left"/>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noWrap/>
            <w:vAlign w:val="center"/>
          </w:tcPr>
          <w:p w14:paraId="2848BF30">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14:paraId="09DB69E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256" w:type="pct"/>
            <w:shd w:val="clear" w:color="auto" w:fill="auto"/>
            <w:noWrap/>
            <w:vAlign w:val="center"/>
          </w:tcPr>
          <w:p w14:paraId="417BB2F7">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66BC6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6ED8AF39">
            <w:pPr>
              <w:widowControl/>
              <w:jc w:val="left"/>
              <w:rPr>
                <w:rFonts w:hint="eastAsia" w:ascii="宋体" w:hAnsi="宋体" w:cs="宋体"/>
                <w:kern w:val="0"/>
                <w:sz w:val="20"/>
                <w:szCs w:val="20"/>
              </w:rPr>
            </w:pPr>
          </w:p>
        </w:tc>
        <w:tc>
          <w:tcPr>
            <w:tcW w:w="714" w:type="pct"/>
            <w:vMerge w:val="continue"/>
            <w:vAlign w:val="center"/>
          </w:tcPr>
          <w:p w14:paraId="09C71C44">
            <w:pPr>
              <w:widowControl/>
              <w:jc w:val="left"/>
              <w:rPr>
                <w:rFonts w:hint="eastAsia" w:ascii="宋体" w:hAnsi="宋体" w:cs="宋体"/>
                <w:kern w:val="0"/>
                <w:sz w:val="20"/>
                <w:szCs w:val="20"/>
              </w:rPr>
            </w:pPr>
          </w:p>
        </w:tc>
        <w:tc>
          <w:tcPr>
            <w:tcW w:w="772" w:type="pct"/>
            <w:shd w:val="clear" w:color="auto" w:fill="auto"/>
            <w:noWrap/>
            <w:vAlign w:val="center"/>
          </w:tcPr>
          <w:p w14:paraId="3694083D">
            <w:pPr>
              <w:widowControl/>
              <w:jc w:val="left"/>
              <w:rPr>
                <w:rFonts w:hint="eastAsia" w:ascii="宋体" w:hAnsi="宋体" w:cs="宋体"/>
                <w:kern w:val="0"/>
                <w:sz w:val="20"/>
                <w:szCs w:val="20"/>
              </w:rPr>
            </w:pPr>
            <w:r>
              <w:rPr>
                <w:rFonts w:hint="eastAsia" w:ascii="宋体" w:hAnsi="宋体" w:cs="宋体"/>
                <w:kern w:val="0"/>
                <w:sz w:val="20"/>
                <w:szCs w:val="20"/>
              </w:rPr>
              <w:t>宏观数据上报率</w:t>
            </w:r>
          </w:p>
        </w:tc>
        <w:tc>
          <w:tcPr>
            <w:tcW w:w="762" w:type="pct"/>
            <w:shd w:val="clear" w:color="auto" w:fill="auto"/>
            <w:noWrap/>
            <w:vAlign w:val="center"/>
          </w:tcPr>
          <w:p w14:paraId="680CD417">
            <w:pPr>
              <w:widowControl/>
              <w:jc w:val="left"/>
              <w:rPr>
                <w:rFonts w:hint="eastAsia" w:ascii="宋体" w:hAnsi="宋体" w:cs="宋体"/>
                <w:kern w:val="0"/>
                <w:sz w:val="20"/>
                <w:szCs w:val="20"/>
              </w:rPr>
            </w:pPr>
            <w:r>
              <w:rPr>
                <w:rFonts w:hint="eastAsia" w:ascii="宋体" w:hAnsi="宋体" w:cs="宋体"/>
                <w:kern w:val="0"/>
                <w:sz w:val="20"/>
                <w:szCs w:val="20"/>
              </w:rPr>
              <w:t>&gt;=100%</w:t>
            </w:r>
          </w:p>
        </w:tc>
        <w:tc>
          <w:tcPr>
            <w:tcW w:w="742" w:type="pct"/>
            <w:shd w:val="clear" w:color="auto" w:fill="auto"/>
            <w:noWrap/>
            <w:vAlign w:val="center"/>
          </w:tcPr>
          <w:p w14:paraId="4F315E95">
            <w:pPr>
              <w:widowControl/>
              <w:jc w:val="left"/>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noWrap/>
            <w:vAlign w:val="center"/>
          </w:tcPr>
          <w:p w14:paraId="34064702">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14:paraId="6FDED923">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56" w:type="pct"/>
            <w:shd w:val="clear" w:color="auto" w:fill="auto"/>
            <w:noWrap/>
            <w:vAlign w:val="center"/>
          </w:tcPr>
          <w:p w14:paraId="533D0382">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8D4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vMerge w:val="continue"/>
            <w:vAlign w:val="center"/>
          </w:tcPr>
          <w:p w14:paraId="65961954">
            <w:pPr>
              <w:widowControl/>
              <w:jc w:val="left"/>
              <w:rPr>
                <w:rFonts w:hint="eastAsia" w:ascii="宋体" w:hAnsi="宋体" w:cs="宋体"/>
                <w:kern w:val="0"/>
                <w:sz w:val="20"/>
                <w:szCs w:val="20"/>
              </w:rPr>
            </w:pPr>
          </w:p>
        </w:tc>
        <w:tc>
          <w:tcPr>
            <w:tcW w:w="714" w:type="pct"/>
            <w:shd w:val="clear" w:color="auto" w:fill="auto"/>
            <w:noWrap/>
            <w:vAlign w:val="center"/>
          </w:tcPr>
          <w:p w14:paraId="4A569AC9">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772" w:type="pct"/>
            <w:shd w:val="clear" w:color="auto" w:fill="auto"/>
            <w:noWrap/>
            <w:vAlign w:val="center"/>
          </w:tcPr>
          <w:p w14:paraId="777CE0BD">
            <w:pPr>
              <w:widowControl/>
              <w:jc w:val="left"/>
              <w:rPr>
                <w:rFonts w:hint="eastAsia" w:ascii="宋体" w:hAnsi="宋体" w:cs="宋体"/>
                <w:kern w:val="0"/>
                <w:sz w:val="20"/>
                <w:szCs w:val="20"/>
              </w:rPr>
            </w:pPr>
            <w:r>
              <w:rPr>
                <w:rFonts w:hint="eastAsia" w:ascii="宋体" w:hAnsi="宋体" w:cs="宋体"/>
                <w:kern w:val="0"/>
                <w:sz w:val="20"/>
                <w:szCs w:val="20"/>
              </w:rPr>
              <w:t>地震、宏观监测数据上报及时率</w:t>
            </w:r>
          </w:p>
        </w:tc>
        <w:tc>
          <w:tcPr>
            <w:tcW w:w="762" w:type="pct"/>
            <w:shd w:val="clear" w:color="auto" w:fill="auto"/>
            <w:noWrap/>
            <w:vAlign w:val="center"/>
          </w:tcPr>
          <w:p w14:paraId="0CC6BD0E">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742" w:type="pct"/>
            <w:shd w:val="clear" w:color="auto" w:fill="auto"/>
            <w:noWrap/>
            <w:vAlign w:val="center"/>
          </w:tcPr>
          <w:p w14:paraId="3F4F8872">
            <w:pPr>
              <w:widowControl/>
              <w:jc w:val="left"/>
              <w:rPr>
                <w:rFonts w:hint="eastAsia" w:ascii="宋体" w:hAnsi="宋体" w:cs="宋体"/>
                <w:kern w:val="0"/>
                <w:sz w:val="20"/>
                <w:szCs w:val="20"/>
              </w:rPr>
            </w:pPr>
            <w:r>
              <w:rPr>
                <w:rFonts w:hint="eastAsia" w:ascii="宋体" w:hAnsi="宋体" w:cs="宋体"/>
                <w:kern w:val="0"/>
                <w:sz w:val="20"/>
                <w:szCs w:val="20"/>
              </w:rPr>
              <w:t>木垒县地震台2023年工作计划</w:t>
            </w:r>
          </w:p>
        </w:tc>
        <w:tc>
          <w:tcPr>
            <w:tcW w:w="610" w:type="pct"/>
            <w:shd w:val="clear" w:color="auto" w:fill="auto"/>
            <w:noWrap/>
            <w:vAlign w:val="center"/>
          </w:tcPr>
          <w:p w14:paraId="69324664">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14:paraId="48C36762">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256" w:type="pct"/>
            <w:shd w:val="clear" w:color="auto" w:fill="auto"/>
            <w:noWrap/>
            <w:vAlign w:val="center"/>
          </w:tcPr>
          <w:p w14:paraId="0B61FA83">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542E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shd w:val="clear" w:color="auto" w:fill="auto"/>
            <w:noWrap/>
            <w:vAlign w:val="center"/>
          </w:tcPr>
          <w:p w14:paraId="10CB67BE">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714" w:type="pct"/>
            <w:shd w:val="clear" w:color="auto" w:fill="auto"/>
            <w:noWrap/>
            <w:vAlign w:val="center"/>
          </w:tcPr>
          <w:p w14:paraId="6657AA3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72" w:type="pct"/>
            <w:shd w:val="clear" w:color="auto" w:fill="auto"/>
            <w:noWrap/>
            <w:vAlign w:val="center"/>
          </w:tcPr>
          <w:p w14:paraId="4C2A7AD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62" w:type="pct"/>
            <w:shd w:val="clear" w:color="auto" w:fill="auto"/>
            <w:noWrap/>
            <w:vAlign w:val="center"/>
          </w:tcPr>
          <w:p w14:paraId="14B7690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2" w:type="pct"/>
            <w:shd w:val="clear" w:color="auto" w:fill="auto"/>
            <w:noWrap/>
            <w:vAlign w:val="center"/>
          </w:tcPr>
          <w:p w14:paraId="5B4583CA">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0" w:type="pct"/>
            <w:shd w:val="clear" w:color="auto" w:fill="auto"/>
            <w:noWrap/>
            <w:vAlign w:val="center"/>
          </w:tcPr>
          <w:p w14:paraId="14DDD07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14:paraId="1C928D1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56" w:type="pct"/>
            <w:shd w:val="clear" w:color="auto" w:fill="auto"/>
            <w:noWrap/>
            <w:vAlign w:val="center"/>
          </w:tcPr>
          <w:p w14:paraId="3D3C7A5C">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574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shd w:val="clear" w:color="auto" w:fill="auto"/>
            <w:noWrap/>
            <w:vAlign w:val="center"/>
          </w:tcPr>
          <w:p w14:paraId="292D7562">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714" w:type="pct"/>
            <w:shd w:val="clear" w:color="auto" w:fill="auto"/>
            <w:noWrap/>
            <w:vAlign w:val="center"/>
          </w:tcPr>
          <w:p w14:paraId="4FFCFD0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72" w:type="pct"/>
            <w:shd w:val="clear" w:color="auto" w:fill="auto"/>
            <w:noWrap/>
            <w:vAlign w:val="center"/>
          </w:tcPr>
          <w:p w14:paraId="3783D9D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62" w:type="pct"/>
            <w:shd w:val="clear" w:color="auto" w:fill="auto"/>
            <w:noWrap/>
            <w:vAlign w:val="center"/>
          </w:tcPr>
          <w:p w14:paraId="584A222B">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2" w:type="pct"/>
            <w:shd w:val="clear" w:color="auto" w:fill="auto"/>
            <w:noWrap/>
            <w:vAlign w:val="center"/>
          </w:tcPr>
          <w:p w14:paraId="2F0DA38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0" w:type="pct"/>
            <w:shd w:val="clear" w:color="auto" w:fill="auto"/>
            <w:noWrap/>
            <w:vAlign w:val="center"/>
          </w:tcPr>
          <w:p w14:paraId="3946B4E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14:paraId="6896D35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56" w:type="pct"/>
            <w:shd w:val="clear" w:color="auto" w:fill="auto"/>
            <w:noWrap/>
            <w:vAlign w:val="center"/>
          </w:tcPr>
          <w:p w14:paraId="7D3781A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722D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90" w:type="pct"/>
            <w:shd w:val="clear" w:color="auto" w:fill="auto"/>
            <w:noWrap/>
            <w:vAlign w:val="center"/>
          </w:tcPr>
          <w:p w14:paraId="0451FFC2">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714" w:type="pct"/>
            <w:shd w:val="clear" w:color="auto" w:fill="auto"/>
            <w:noWrap/>
            <w:vAlign w:val="center"/>
          </w:tcPr>
          <w:p w14:paraId="58CD6C9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72" w:type="pct"/>
            <w:shd w:val="clear" w:color="auto" w:fill="auto"/>
            <w:noWrap/>
            <w:vAlign w:val="center"/>
          </w:tcPr>
          <w:p w14:paraId="5BCD03F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62" w:type="pct"/>
            <w:shd w:val="clear" w:color="auto" w:fill="auto"/>
            <w:noWrap/>
            <w:vAlign w:val="center"/>
          </w:tcPr>
          <w:p w14:paraId="631E5D1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2" w:type="pct"/>
            <w:shd w:val="clear" w:color="auto" w:fill="auto"/>
            <w:noWrap/>
            <w:vAlign w:val="center"/>
          </w:tcPr>
          <w:p w14:paraId="1EE6424E">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10" w:type="pct"/>
            <w:shd w:val="clear" w:color="auto" w:fill="auto"/>
            <w:noWrap/>
            <w:vAlign w:val="center"/>
          </w:tcPr>
          <w:p w14:paraId="028A62F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14:paraId="12041D5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56" w:type="pct"/>
            <w:shd w:val="clear" w:color="auto" w:fill="auto"/>
            <w:noWrap/>
            <w:vAlign w:val="center"/>
          </w:tcPr>
          <w:p w14:paraId="42E54FA5">
            <w:pPr>
              <w:widowControl/>
              <w:jc w:val="left"/>
              <w:rPr>
                <w:rFonts w:hint="eastAsia" w:ascii="宋体" w:hAnsi="宋体" w:cs="宋体"/>
                <w:kern w:val="0"/>
                <w:sz w:val="20"/>
                <w:szCs w:val="20"/>
              </w:rPr>
            </w:pPr>
            <w:r>
              <w:rPr>
                <w:rFonts w:hint="eastAsia" w:ascii="宋体" w:hAnsi="宋体" w:cs="宋体"/>
                <w:kern w:val="0"/>
                <w:sz w:val="20"/>
                <w:szCs w:val="20"/>
              </w:rPr>
              <w:t>　</w:t>
            </w:r>
          </w:p>
        </w:tc>
      </w:tr>
    </w:tbl>
    <w:p w14:paraId="4DD61A44">
      <w:pPr>
        <w:ind w:firstLine="640" w:firstLineChars="200"/>
        <w:jc w:val="left"/>
        <w:rPr>
          <w:rFonts w:ascii="仿宋_GB2312" w:eastAsia="仿宋_GB2312"/>
          <w:sz w:val="32"/>
          <w:szCs w:val="32"/>
        </w:rPr>
      </w:pPr>
    </w:p>
    <w:p w14:paraId="29BA939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5BE0A5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169F5B56">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7A7FC0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215E6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D403E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B4A1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0A82DA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3EEBDC3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96C42E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94FB41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BBDEB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F5B296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75147D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43DC5B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0D6E9A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CF76C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550C7D8B">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B3921D3">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9D37DC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018E4618">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4A23BCA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809BD9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8BA59FE">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01B117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597A7BF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AF29C4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863338D">
      <w:pPr>
        <w:ind w:firstLine="640" w:firstLineChars="200"/>
        <w:rPr>
          <w:rFonts w:ascii="仿宋_GB2312" w:eastAsia="仿宋_GB2312"/>
          <w:sz w:val="32"/>
          <w:szCs w:val="32"/>
        </w:rPr>
      </w:pPr>
    </w:p>
    <w:p w14:paraId="70BD928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D1C5A">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002E02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002E02B">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A15E6F"/>
    <w:rsid w:val="001B4408"/>
    <w:rsid w:val="00213C59"/>
    <w:rsid w:val="00280690"/>
    <w:rsid w:val="003210CE"/>
    <w:rsid w:val="0045190D"/>
    <w:rsid w:val="00475D48"/>
    <w:rsid w:val="00645902"/>
    <w:rsid w:val="00765B3D"/>
    <w:rsid w:val="007D0A82"/>
    <w:rsid w:val="008555D9"/>
    <w:rsid w:val="00A14B2B"/>
    <w:rsid w:val="00A15E6F"/>
    <w:rsid w:val="00A364A0"/>
    <w:rsid w:val="00AB3E9F"/>
    <w:rsid w:val="00AD28EE"/>
    <w:rsid w:val="00B63399"/>
    <w:rsid w:val="00B70D59"/>
    <w:rsid w:val="00B8785B"/>
    <w:rsid w:val="00C5166B"/>
    <w:rsid w:val="00D52279"/>
    <w:rsid w:val="00DE3777"/>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5E745A"/>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2A6B"/>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6043</Words>
  <Characters>6797</Characters>
  <Lines>56</Lines>
  <Paragraphs>15</Paragraphs>
  <TotalTime>19</TotalTime>
  <ScaleCrop>false</ScaleCrop>
  <LinksUpToDate>false</LinksUpToDate>
  <CharactersWithSpaces>6846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2024-11-12T10:27:03Z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